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4F5C" w14:textId="77777777" w:rsidR="00DE36B1" w:rsidRPr="00DE36B1" w:rsidRDefault="00DE36B1" w:rsidP="003503CD">
      <w:pPr>
        <w:spacing w:after="0" w:line="240" w:lineRule="auto"/>
        <w:jc w:val="center"/>
        <w:rPr>
          <w:b/>
          <w:caps/>
          <w:sz w:val="32"/>
        </w:rPr>
      </w:pPr>
      <w:r w:rsidRPr="00DE36B1">
        <w:rPr>
          <w:b/>
          <w:caps/>
          <w:sz w:val="32"/>
        </w:rPr>
        <w:t>Smlouva o postoupení pohledáv</w:t>
      </w:r>
      <w:r w:rsidR="0072506E">
        <w:rPr>
          <w:b/>
          <w:caps/>
          <w:sz w:val="32"/>
        </w:rPr>
        <w:t>ek</w:t>
      </w:r>
    </w:p>
    <w:p w14:paraId="365F6193" w14:textId="77777777" w:rsidR="00DE36B1" w:rsidRDefault="00DE36B1" w:rsidP="003503CD">
      <w:pPr>
        <w:spacing w:after="0" w:line="240" w:lineRule="auto"/>
      </w:pPr>
    </w:p>
    <w:tbl>
      <w:tblPr>
        <w:tblStyle w:val="Mkatabulky"/>
        <w:tblW w:w="1446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142"/>
        <w:gridCol w:w="142"/>
        <w:gridCol w:w="4538"/>
        <w:gridCol w:w="4680"/>
      </w:tblGrid>
      <w:tr w:rsidR="00DE36B1" w14:paraId="57B58E28" w14:textId="77777777" w:rsidTr="003503CD">
        <w:trPr>
          <w:gridAfter w:val="1"/>
          <w:wAfter w:w="4680" w:type="dxa"/>
          <w:trHeight w:val="6865"/>
        </w:trPr>
        <w:tc>
          <w:tcPr>
            <w:tcW w:w="4962" w:type="dxa"/>
          </w:tcPr>
          <w:p w14:paraId="042F267D" w14:textId="77777777" w:rsidR="00DE36B1" w:rsidRDefault="00DE36B1" w:rsidP="003503CD">
            <w:pPr>
              <w:rPr>
                <w:b/>
              </w:rPr>
            </w:pPr>
          </w:p>
          <w:p w14:paraId="1FE433F9" w14:textId="77777777" w:rsidR="00DE36B1" w:rsidRDefault="00F302B5" w:rsidP="003503CD">
            <w:pPr>
              <w:rPr>
                <w:b/>
              </w:rPr>
            </w:pPr>
            <w:r>
              <w:rPr>
                <w:b/>
              </w:rPr>
              <w:t>AB</w:t>
            </w:r>
            <w:r w:rsidR="00DE36B1">
              <w:rPr>
                <w:b/>
              </w:rPr>
              <w:t xml:space="preserve"> insolvence v.o.s.</w:t>
            </w:r>
          </w:p>
          <w:p w14:paraId="10AA9188" w14:textId="77777777" w:rsidR="00DE36B1" w:rsidRPr="00F820BB" w:rsidRDefault="00DE36B1" w:rsidP="003503CD">
            <w:r w:rsidRPr="00F820BB">
              <w:t xml:space="preserve">IČO: </w:t>
            </w:r>
            <w:r w:rsidR="00F820BB" w:rsidRPr="00F820BB">
              <w:rPr>
                <w:rStyle w:val="Siln"/>
                <w:b w:val="0"/>
              </w:rPr>
              <w:t>247 38 115</w:t>
            </w:r>
          </w:p>
          <w:p w14:paraId="7A9DB91D" w14:textId="77777777" w:rsidR="00DE36B1" w:rsidRPr="00F820BB" w:rsidRDefault="00165710" w:rsidP="003503CD">
            <w:r>
              <w:t>se sídlem Praha</w:t>
            </w:r>
            <w:r w:rsidR="00DE36B1" w:rsidRPr="00F820BB">
              <w:t xml:space="preserve">, Na Poříčí </w:t>
            </w:r>
            <w:r w:rsidR="00F820BB">
              <w:t>1046, PSČ 110 00</w:t>
            </w:r>
          </w:p>
          <w:p w14:paraId="0FD37BE8" w14:textId="77777777" w:rsidR="00DE36B1" w:rsidRDefault="00165710" w:rsidP="003503CD">
            <w:pPr>
              <w:rPr>
                <w:rStyle w:val="spiszn"/>
              </w:rPr>
            </w:pPr>
            <w:r>
              <w:t xml:space="preserve">společnost </w:t>
            </w:r>
            <w:r w:rsidR="00DE36B1" w:rsidRPr="00F820BB">
              <w:t xml:space="preserve">zapsaná v obchodním rejstříku vedeném Městským soudem v Praze, </w:t>
            </w:r>
            <w:r w:rsidR="008402C3" w:rsidRPr="00F820BB">
              <w:t xml:space="preserve">oddíl </w:t>
            </w:r>
            <w:r w:rsidR="008402C3" w:rsidRPr="00F820BB">
              <w:rPr>
                <w:rStyle w:val="spiszn"/>
              </w:rPr>
              <w:t>A, vložka</w:t>
            </w:r>
            <w:r w:rsidR="00DE36B1">
              <w:rPr>
                <w:rStyle w:val="spiszn"/>
              </w:rPr>
              <w:t xml:space="preserve"> 73447 </w:t>
            </w:r>
          </w:p>
          <w:p w14:paraId="3F453C30" w14:textId="77777777" w:rsidR="00FA347F" w:rsidRDefault="00FA347F" w:rsidP="003503CD">
            <w:pPr>
              <w:rPr>
                <w:rStyle w:val="spiszn"/>
              </w:rPr>
            </w:pPr>
          </w:p>
          <w:p w14:paraId="5E22CD29" w14:textId="77777777" w:rsidR="00FA347F" w:rsidRDefault="00FA347F" w:rsidP="003503CD">
            <w:pPr>
              <w:rPr>
                <w:rStyle w:val="spiszn"/>
              </w:rPr>
            </w:pPr>
            <w:r>
              <w:rPr>
                <w:rStyle w:val="spiszn"/>
              </w:rPr>
              <w:t>jednající jako insolvenční správce společnosti</w:t>
            </w:r>
          </w:p>
          <w:p w14:paraId="51F62761" w14:textId="49A805B5" w:rsidR="005B547F" w:rsidRDefault="00B418A5" w:rsidP="003503CD">
            <w:r w:rsidRPr="00B418A5">
              <w:rPr>
                <w:b/>
              </w:rPr>
              <w:t>2P Commercial Agency s.r.o.</w:t>
            </w:r>
            <w:r w:rsidR="005B547F">
              <w:t xml:space="preserve">IČO: </w:t>
            </w:r>
            <w:r>
              <w:t>614 58 848</w:t>
            </w:r>
          </w:p>
          <w:p w14:paraId="6B519CC3" w14:textId="036FB891" w:rsidR="005B547F" w:rsidRDefault="005B547F" w:rsidP="003503CD">
            <w:pPr>
              <w:rPr>
                <w:b/>
              </w:rPr>
            </w:pPr>
            <w:r w:rsidRPr="005B547F">
              <w:t xml:space="preserve">se sídlem </w:t>
            </w:r>
            <w:r w:rsidR="00B418A5">
              <w:t>U Zvonařky 291/3, Praha 2, PSČ 120 00</w:t>
            </w:r>
          </w:p>
          <w:p w14:paraId="34F7CD97" w14:textId="77777777" w:rsidR="00FA347F" w:rsidRDefault="008402C3" w:rsidP="003503CD">
            <w:pPr>
              <w:rPr>
                <w:rStyle w:val="spiszn"/>
              </w:rPr>
            </w:pPr>
            <w:r>
              <w:rPr>
                <w:rFonts w:ascii="Calibri" w:hAnsi="Calibri"/>
              </w:rPr>
              <w:t>(dále jen „</w:t>
            </w:r>
            <w:r w:rsidRPr="008402C3">
              <w:rPr>
                <w:rFonts w:ascii="Calibri" w:hAnsi="Calibri"/>
                <w:b/>
              </w:rPr>
              <w:t>Dlužník</w:t>
            </w:r>
            <w:r>
              <w:rPr>
                <w:rFonts w:ascii="Calibri" w:hAnsi="Calibri"/>
              </w:rPr>
              <w:t>“)</w:t>
            </w:r>
          </w:p>
          <w:p w14:paraId="2196F14D" w14:textId="77777777" w:rsidR="008402C3" w:rsidRDefault="008402C3" w:rsidP="003503CD">
            <w:pPr>
              <w:rPr>
                <w:rStyle w:val="spiszn"/>
              </w:rPr>
            </w:pPr>
          </w:p>
          <w:p w14:paraId="36B3C97A" w14:textId="77777777" w:rsidR="00DE36B1" w:rsidRDefault="00DE36B1" w:rsidP="003503CD">
            <w:pPr>
              <w:rPr>
                <w:rStyle w:val="spiszn"/>
              </w:rPr>
            </w:pPr>
            <w:r>
              <w:rPr>
                <w:rStyle w:val="spiszn"/>
              </w:rPr>
              <w:t>(dále jen „</w:t>
            </w:r>
            <w:r w:rsidRPr="00F820BB">
              <w:rPr>
                <w:rStyle w:val="spiszn"/>
                <w:b/>
              </w:rPr>
              <w:t>Postupitel</w:t>
            </w:r>
            <w:r>
              <w:rPr>
                <w:rStyle w:val="spiszn"/>
              </w:rPr>
              <w:t>“)</w:t>
            </w:r>
          </w:p>
          <w:p w14:paraId="2A451122" w14:textId="77777777" w:rsidR="00DE36B1" w:rsidRDefault="00DE36B1" w:rsidP="003503CD">
            <w:pPr>
              <w:rPr>
                <w:rStyle w:val="spiszn"/>
              </w:rPr>
            </w:pPr>
          </w:p>
          <w:p w14:paraId="36AF0797" w14:textId="77777777" w:rsidR="00DE36B1" w:rsidRDefault="00DE36B1" w:rsidP="003503CD">
            <w:pPr>
              <w:rPr>
                <w:rStyle w:val="spiszn"/>
              </w:rPr>
            </w:pPr>
            <w:r>
              <w:rPr>
                <w:rStyle w:val="spiszn"/>
              </w:rPr>
              <w:t>a</w:t>
            </w:r>
          </w:p>
          <w:p w14:paraId="73C2F535" w14:textId="77777777" w:rsidR="00DE36B1" w:rsidRDefault="00DE36B1" w:rsidP="003503CD">
            <w:pPr>
              <w:spacing w:line="480" w:lineRule="auto"/>
              <w:rPr>
                <w:b/>
              </w:rPr>
            </w:pPr>
          </w:p>
          <w:p w14:paraId="1945EBCA" w14:textId="77777777" w:rsidR="00BE0346" w:rsidRDefault="00FD5802" w:rsidP="003503CD">
            <w:pPr>
              <w:spacing w:line="480" w:lineRule="auto"/>
              <w:rPr>
                <w:b/>
                <w:bCs/>
              </w:rPr>
            </w:pPr>
            <w:r>
              <w:rPr>
                <w:b/>
                <w:bCs/>
              </w:rPr>
              <w:t>_____________________________________</w:t>
            </w:r>
          </w:p>
          <w:p w14:paraId="2A736FD6" w14:textId="77777777" w:rsidR="00BE0346" w:rsidRPr="00BE0346" w:rsidRDefault="00FD5802" w:rsidP="003503CD">
            <w:pPr>
              <w:spacing w:line="480" w:lineRule="auto"/>
              <w:rPr>
                <w:bCs/>
              </w:rPr>
            </w:pPr>
            <w:r>
              <w:rPr>
                <w:bCs/>
              </w:rPr>
              <w:t>_____________________________________</w:t>
            </w:r>
            <w:r w:rsidR="00BE0346" w:rsidRPr="00BE0346">
              <w:rPr>
                <w:bCs/>
              </w:rPr>
              <w:t xml:space="preserve"> </w:t>
            </w:r>
          </w:p>
          <w:p w14:paraId="29963B36" w14:textId="77777777" w:rsidR="00C731ED" w:rsidRDefault="00BE0346" w:rsidP="003503CD">
            <w:pPr>
              <w:spacing w:line="480" w:lineRule="auto"/>
              <w:jc w:val="both"/>
              <w:rPr>
                <w:rStyle w:val="Siln"/>
                <w:b w:val="0"/>
              </w:rPr>
            </w:pPr>
            <w:r>
              <w:rPr>
                <w:rStyle w:val="Siln"/>
                <w:b w:val="0"/>
              </w:rPr>
              <w:t>____________________________</w:t>
            </w:r>
            <w:r w:rsidR="00FD5802">
              <w:rPr>
                <w:rStyle w:val="Siln"/>
                <w:b w:val="0"/>
              </w:rPr>
              <w:t>_________</w:t>
            </w:r>
          </w:p>
          <w:p w14:paraId="036A51A0" w14:textId="77777777" w:rsidR="00FD5802" w:rsidRPr="00FD5802" w:rsidRDefault="00FD5802" w:rsidP="003503CD">
            <w:pPr>
              <w:spacing w:line="480" w:lineRule="auto"/>
              <w:jc w:val="both"/>
              <w:rPr>
                <w:b/>
                <w:bCs/>
              </w:rPr>
            </w:pPr>
            <w:r w:rsidRPr="00FD5802">
              <w:rPr>
                <w:b/>
                <w:bCs/>
              </w:rPr>
              <w:t>_____________________________________</w:t>
            </w:r>
          </w:p>
          <w:p w14:paraId="20CA13C9" w14:textId="77777777" w:rsidR="00FD5802" w:rsidRDefault="00FD5802" w:rsidP="003503CD">
            <w:pPr>
              <w:jc w:val="both"/>
            </w:pPr>
          </w:p>
        </w:tc>
        <w:tc>
          <w:tcPr>
            <w:tcW w:w="284" w:type="dxa"/>
            <w:gridSpan w:val="2"/>
          </w:tcPr>
          <w:p w14:paraId="0365C364" w14:textId="77777777" w:rsidR="00DE36B1" w:rsidRDefault="00DE36B1" w:rsidP="003503CD"/>
        </w:tc>
        <w:tc>
          <w:tcPr>
            <w:tcW w:w="4538" w:type="dxa"/>
            <w:hideMark/>
          </w:tcPr>
          <w:p w14:paraId="72057DBC" w14:textId="77777777" w:rsidR="00DE36B1" w:rsidRDefault="00DE36B1" w:rsidP="003503CD"/>
        </w:tc>
      </w:tr>
      <w:tr w:rsidR="00FD5802" w14:paraId="3473BA3D" w14:textId="77777777" w:rsidTr="003503CD">
        <w:trPr>
          <w:gridAfter w:val="1"/>
          <w:wAfter w:w="4680" w:type="dxa"/>
        </w:trPr>
        <w:tc>
          <w:tcPr>
            <w:tcW w:w="4962" w:type="dxa"/>
            <w:hideMark/>
          </w:tcPr>
          <w:p w14:paraId="6B1B6DEB" w14:textId="77777777" w:rsidR="00FD5802" w:rsidRDefault="00FD5802" w:rsidP="003503CD">
            <w:r>
              <w:t>(dále jen „</w:t>
            </w:r>
            <w:r>
              <w:rPr>
                <w:b/>
              </w:rPr>
              <w:t>Postupník</w:t>
            </w:r>
            <w:r>
              <w:t>“)</w:t>
            </w:r>
          </w:p>
        </w:tc>
        <w:tc>
          <w:tcPr>
            <w:tcW w:w="284" w:type="dxa"/>
            <w:gridSpan w:val="2"/>
          </w:tcPr>
          <w:p w14:paraId="1654C4F6" w14:textId="77777777" w:rsidR="00FD5802" w:rsidRDefault="00FD5802" w:rsidP="003503CD"/>
        </w:tc>
        <w:tc>
          <w:tcPr>
            <w:tcW w:w="4538" w:type="dxa"/>
            <w:hideMark/>
          </w:tcPr>
          <w:p w14:paraId="4D14DD1F" w14:textId="77777777" w:rsidR="00FD5802" w:rsidRDefault="00FD5802" w:rsidP="003503CD"/>
        </w:tc>
      </w:tr>
      <w:tr w:rsidR="00FD5802" w14:paraId="3E617EA9" w14:textId="77777777" w:rsidTr="003503CD">
        <w:trPr>
          <w:gridAfter w:val="1"/>
          <w:wAfter w:w="4680" w:type="dxa"/>
        </w:trPr>
        <w:tc>
          <w:tcPr>
            <w:tcW w:w="4962" w:type="dxa"/>
          </w:tcPr>
          <w:p w14:paraId="56BC970B" w14:textId="77777777" w:rsidR="00FD5802" w:rsidRDefault="00FD5802" w:rsidP="003503CD">
            <w:pPr>
              <w:jc w:val="both"/>
            </w:pPr>
          </w:p>
        </w:tc>
        <w:tc>
          <w:tcPr>
            <w:tcW w:w="284" w:type="dxa"/>
            <w:gridSpan w:val="2"/>
          </w:tcPr>
          <w:p w14:paraId="1BFB5585" w14:textId="77777777" w:rsidR="00FD5802" w:rsidRDefault="00FD5802" w:rsidP="003503CD"/>
        </w:tc>
        <w:tc>
          <w:tcPr>
            <w:tcW w:w="4538" w:type="dxa"/>
          </w:tcPr>
          <w:p w14:paraId="140C7E99" w14:textId="77777777" w:rsidR="00FD5802" w:rsidRDefault="00FD5802" w:rsidP="003503CD"/>
        </w:tc>
      </w:tr>
      <w:tr w:rsidR="00FD5802" w14:paraId="5ADBA6C3" w14:textId="77777777" w:rsidTr="003503CD">
        <w:trPr>
          <w:gridAfter w:val="1"/>
          <w:wAfter w:w="4680" w:type="dxa"/>
        </w:trPr>
        <w:tc>
          <w:tcPr>
            <w:tcW w:w="9784" w:type="dxa"/>
            <w:gridSpan w:val="4"/>
          </w:tcPr>
          <w:p w14:paraId="3D44F362" w14:textId="77777777" w:rsidR="00FD5802" w:rsidRDefault="00FD5802" w:rsidP="003503CD">
            <w:r>
              <w:t>(Postupitel a Postupník jsou dále společně označováni také jako ”</w:t>
            </w:r>
            <w:r>
              <w:rPr>
                <w:b/>
              </w:rPr>
              <w:t>Strany</w:t>
            </w:r>
            <w:r>
              <w:t>” a jednotlivě jako ”</w:t>
            </w:r>
            <w:r>
              <w:rPr>
                <w:b/>
              </w:rPr>
              <w:t>Strana</w:t>
            </w:r>
            <w:r>
              <w:t>”)</w:t>
            </w:r>
          </w:p>
          <w:p w14:paraId="1939D636" w14:textId="77777777" w:rsidR="00FD5802" w:rsidRDefault="00FD5802" w:rsidP="003503CD">
            <w:pPr>
              <w:jc w:val="center"/>
            </w:pPr>
          </w:p>
        </w:tc>
      </w:tr>
      <w:tr w:rsidR="00FD5802" w14:paraId="163DB56C" w14:textId="77777777" w:rsidTr="003503CD">
        <w:trPr>
          <w:gridAfter w:val="1"/>
          <w:wAfter w:w="4680" w:type="dxa"/>
        </w:trPr>
        <w:tc>
          <w:tcPr>
            <w:tcW w:w="9784" w:type="dxa"/>
            <w:gridSpan w:val="4"/>
            <w:hideMark/>
          </w:tcPr>
          <w:p w14:paraId="37997C2E" w14:textId="77777777" w:rsidR="00FD5802" w:rsidRDefault="00FD5802" w:rsidP="003503CD">
            <w:pPr>
              <w:jc w:val="both"/>
            </w:pPr>
            <w:r>
              <w:t xml:space="preserve">uzavírají níže uvedeného dne, měsíce a roku podle ustanovení § </w:t>
            </w:r>
            <w:r w:rsidR="00D0111A">
              <w:t>1879</w:t>
            </w:r>
            <w:r>
              <w:t xml:space="preserve"> a násl. zákona č. </w:t>
            </w:r>
            <w:r w:rsidR="00D0111A">
              <w:t>89/2012</w:t>
            </w:r>
            <w:r>
              <w:t xml:space="preserve"> Sb., občanský zákoník, v platném znění (dále jen „</w:t>
            </w:r>
            <w:r>
              <w:rPr>
                <w:b/>
              </w:rPr>
              <w:t>Občanský zákoník</w:t>
            </w:r>
            <w:r>
              <w:t>“)</w:t>
            </w:r>
            <w:r w:rsidR="00D0111A">
              <w:t xml:space="preserve"> </w:t>
            </w:r>
            <w:r>
              <w:t>tuto smlouvu o postoupení pohledávky (dále jen „</w:t>
            </w:r>
            <w:r>
              <w:rPr>
                <w:b/>
              </w:rPr>
              <w:t>Smlouva</w:t>
            </w:r>
            <w:r>
              <w:t>“).</w:t>
            </w:r>
          </w:p>
        </w:tc>
      </w:tr>
      <w:tr w:rsidR="00FD5802" w14:paraId="5185096A" w14:textId="77777777" w:rsidTr="003503CD">
        <w:trPr>
          <w:gridAfter w:val="1"/>
          <w:wAfter w:w="4680" w:type="dxa"/>
        </w:trPr>
        <w:tc>
          <w:tcPr>
            <w:tcW w:w="9784" w:type="dxa"/>
            <w:gridSpan w:val="4"/>
          </w:tcPr>
          <w:p w14:paraId="5865B95D" w14:textId="77777777" w:rsidR="00FD5802" w:rsidRDefault="00FD5802" w:rsidP="003503CD"/>
        </w:tc>
      </w:tr>
      <w:tr w:rsidR="00FD5802" w14:paraId="283828C2" w14:textId="77777777" w:rsidTr="003503CD">
        <w:trPr>
          <w:gridAfter w:val="1"/>
          <w:wAfter w:w="4680" w:type="dxa"/>
        </w:trPr>
        <w:tc>
          <w:tcPr>
            <w:tcW w:w="9784" w:type="dxa"/>
            <w:gridSpan w:val="4"/>
            <w:hideMark/>
          </w:tcPr>
          <w:p w14:paraId="77C6FF2C" w14:textId="77777777" w:rsidR="00FD5802" w:rsidRDefault="00FD5802" w:rsidP="003503CD">
            <w:pPr>
              <w:rPr>
                <w:b/>
              </w:rPr>
            </w:pPr>
            <w:r>
              <w:rPr>
                <w:b/>
              </w:rPr>
              <w:t>VZHLEDEM K TOMU, ŽE:</w:t>
            </w:r>
          </w:p>
        </w:tc>
      </w:tr>
      <w:tr w:rsidR="00FD5802" w14:paraId="0ED69455" w14:textId="77777777" w:rsidTr="003503CD">
        <w:trPr>
          <w:gridAfter w:val="1"/>
          <w:wAfter w:w="4680" w:type="dxa"/>
        </w:trPr>
        <w:tc>
          <w:tcPr>
            <w:tcW w:w="9784" w:type="dxa"/>
            <w:gridSpan w:val="4"/>
          </w:tcPr>
          <w:p w14:paraId="0D805200" w14:textId="77777777" w:rsidR="00FD5802" w:rsidRDefault="00FD5802" w:rsidP="003503CD"/>
        </w:tc>
      </w:tr>
      <w:tr w:rsidR="00FD5802" w14:paraId="4BCD6CD8" w14:textId="77777777" w:rsidTr="003503CD">
        <w:trPr>
          <w:gridAfter w:val="1"/>
          <w:wAfter w:w="4680" w:type="dxa"/>
        </w:trPr>
        <w:tc>
          <w:tcPr>
            <w:tcW w:w="9784" w:type="dxa"/>
            <w:gridSpan w:val="4"/>
            <w:hideMark/>
          </w:tcPr>
          <w:p w14:paraId="59053B8C" w14:textId="77777777" w:rsidR="00FD5802" w:rsidRDefault="00FD5802" w:rsidP="003503CD">
            <w:pPr>
              <w:pStyle w:val="Odstavecseseznamem"/>
              <w:numPr>
                <w:ilvl w:val="0"/>
                <w:numId w:val="17"/>
              </w:numPr>
              <w:jc w:val="both"/>
            </w:pPr>
            <w:r>
              <w:t xml:space="preserve">Dlužník je věřitelem </w:t>
            </w:r>
            <w:r w:rsidR="00891FC2">
              <w:t xml:space="preserve">souborů </w:t>
            </w:r>
            <w:r>
              <w:t>pohledávek specifikovaných v</w:t>
            </w:r>
            <w:r w:rsidR="005B547F">
              <w:t> příloze č. 1</w:t>
            </w:r>
            <w:r>
              <w:t xml:space="preserve"> </w:t>
            </w:r>
            <w:r w:rsidR="00891FC2">
              <w:t xml:space="preserve">a v příloze č. 2 </w:t>
            </w:r>
            <w:r>
              <w:t>této Smlouvy</w:t>
            </w:r>
            <w:r w:rsidR="00891FC2">
              <w:t xml:space="preserve"> (dále jen „</w:t>
            </w:r>
            <w:r w:rsidR="00891FC2" w:rsidRPr="00891FC2">
              <w:rPr>
                <w:b/>
              </w:rPr>
              <w:t>Soubor 1</w:t>
            </w:r>
            <w:r w:rsidR="00891FC2">
              <w:t>“ a „</w:t>
            </w:r>
            <w:r w:rsidR="00891FC2" w:rsidRPr="00891FC2">
              <w:rPr>
                <w:b/>
              </w:rPr>
              <w:t>Soubor 2</w:t>
            </w:r>
            <w:r w:rsidR="00891FC2">
              <w:t>“, společně též jen „</w:t>
            </w:r>
            <w:r w:rsidR="00891FC2" w:rsidRPr="00891FC2">
              <w:rPr>
                <w:b/>
              </w:rPr>
              <w:t>Pohledávky</w:t>
            </w:r>
            <w:r w:rsidR="00891FC2">
              <w:t>“</w:t>
            </w:r>
            <w:r w:rsidR="008A2C57">
              <w:t>)</w:t>
            </w:r>
            <w:r>
              <w:t xml:space="preserve">; </w:t>
            </w:r>
          </w:p>
          <w:p w14:paraId="38CA4C51" w14:textId="77777777" w:rsidR="00FD5802" w:rsidRDefault="00FD5802" w:rsidP="003503CD">
            <w:pPr>
              <w:pStyle w:val="Odstavecseseznamem"/>
              <w:numPr>
                <w:ilvl w:val="0"/>
                <w:numId w:val="17"/>
              </w:numPr>
              <w:jc w:val="both"/>
            </w:pPr>
            <w:r>
              <w:t xml:space="preserve">Strany si přejí </w:t>
            </w:r>
            <w:r w:rsidR="00891FC2">
              <w:t>Soubor 1 a Soubor 2</w:t>
            </w:r>
            <w:r>
              <w:t xml:space="preserve"> postoupit z Postupitele na Postupníka v souladu s podmínkami této Smlouvy;</w:t>
            </w:r>
          </w:p>
          <w:p w14:paraId="43DE8CD4" w14:textId="753E6B31" w:rsidR="00FD5802" w:rsidRDefault="00CA3E0B" w:rsidP="002532C9">
            <w:pPr>
              <w:pStyle w:val="Odstavecseseznamem"/>
              <w:numPr>
                <w:ilvl w:val="0"/>
                <w:numId w:val="17"/>
              </w:numPr>
              <w:jc w:val="both"/>
            </w:pPr>
            <w:r>
              <w:t>N</w:t>
            </w:r>
            <w:r w:rsidR="00FD5802">
              <w:t>a základě usnesení Městského soudu v Praze č.</w:t>
            </w:r>
            <w:r w:rsidR="005B547F">
              <w:t xml:space="preserve"> </w:t>
            </w:r>
            <w:r w:rsidR="00FD5802">
              <w:t xml:space="preserve">j. </w:t>
            </w:r>
            <w:r w:rsidR="009E058B" w:rsidRPr="009E058B">
              <w:t>MSPH 94 INS 22349/2016 – A – 24</w:t>
            </w:r>
            <w:r w:rsidR="002532C9">
              <w:t xml:space="preserve"> </w:t>
            </w:r>
            <w:r w:rsidR="00FD5802">
              <w:t xml:space="preserve">ze dne </w:t>
            </w:r>
            <w:r w:rsidR="00452490" w:rsidRPr="00452490">
              <w:t>16. listopadu 2016</w:t>
            </w:r>
            <w:r w:rsidR="002532C9">
              <w:t xml:space="preserve"> </w:t>
            </w:r>
            <w:r w:rsidR="00FD5802">
              <w:t>bylo rozhodnuto o úpadku</w:t>
            </w:r>
            <w:r w:rsidR="002532C9">
              <w:t xml:space="preserve"> Dlužníka a současně povolena reorganizace</w:t>
            </w:r>
            <w:r w:rsidR="006B3633">
              <w:t xml:space="preserve"> </w:t>
            </w:r>
            <w:r w:rsidR="005B547F">
              <w:t xml:space="preserve">a zároveň byl Postupitel ustanoven </w:t>
            </w:r>
            <w:r w:rsidR="005B547F" w:rsidRPr="00042BE9">
              <w:t>insolvenční</w:t>
            </w:r>
            <w:r w:rsidR="005B547F">
              <w:t>m</w:t>
            </w:r>
            <w:r w:rsidR="005B547F" w:rsidRPr="00042BE9">
              <w:t xml:space="preserve"> </w:t>
            </w:r>
            <w:r w:rsidR="005B547F">
              <w:t>správcem D</w:t>
            </w:r>
            <w:r w:rsidR="005B547F" w:rsidRPr="00042BE9">
              <w:t>lužníka</w:t>
            </w:r>
            <w:r w:rsidR="00A86844">
              <w:t xml:space="preserve"> a </w:t>
            </w:r>
            <w:r w:rsidR="005B547F">
              <w:t xml:space="preserve">na základě usnesení Městského soudu v Praze ze dne </w:t>
            </w:r>
            <w:r w:rsidR="00452490" w:rsidRPr="00452490">
              <w:t>14. září 2017</w:t>
            </w:r>
            <w:r w:rsidR="005B547F">
              <w:t xml:space="preserve">, č. j. </w:t>
            </w:r>
            <w:r w:rsidR="00452490">
              <w:t>MSPH 94 INS 22349/2016-B-93</w:t>
            </w:r>
            <w:r w:rsidR="002532C9">
              <w:t xml:space="preserve"> </w:t>
            </w:r>
            <w:r w:rsidR="005B547F">
              <w:t>byl</w:t>
            </w:r>
            <w:r w:rsidR="00452490">
              <w:t>a reorganizace Dlužníka přeměněna na konkurs</w:t>
            </w:r>
            <w:bookmarkStart w:id="0" w:name="_GoBack"/>
            <w:bookmarkEnd w:id="0"/>
            <w:r w:rsidR="00F7155F">
              <w:t xml:space="preserve">. </w:t>
            </w:r>
            <w:r w:rsidR="009C3A0C">
              <w:t xml:space="preserve">Postupiteli </w:t>
            </w:r>
            <w:r w:rsidR="005B547F">
              <w:t xml:space="preserve">byl </w:t>
            </w:r>
            <w:r w:rsidR="009C3A0C">
              <w:t xml:space="preserve">udělen </w:t>
            </w:r>
            <w:r w:rsidR="002532C9">
              <w:t xml:space="preserve">pokyn JUDr. Jiřiny Lužová, jako insolvenční správkyně ERB bank, a.s., v likvidaci, jako zajištěného věřitele ohledně pohledávek ze Souboru 1, k prodeji Pohledávek mimo dražbu. Postupiteli byl </w:t>
            </w:r>
            <w:r w:rsidR="005B547F" w:rsidRPr="00891FC2">
              <w:t>zároveň</w:t>
            </w:r>
            <w:r w:rsidR="002532C9">
              <w:t xml:space="preserve"> udělen souhlas s prodejem Pohledávek mimo dražbu</w:t>
            </w:r>
            <w:r w:rsidR="005B547F" w:rsidRPr="00891FC2">
              <w:t xml:space="preserve"> ze strany věřitelského výboru</w:t>
            </w:r>
            <w:r w:rsidR="00452490">
              <w:t xml:space="preserve"> a insolvenčního soudu</w:t>
            </w:r>
            <w:r w:rsidR="005B547F" w:rsidRPr="00891FC2">
              <w:t xml:space="preserve"> ohledně pohledávek</w:t>
            </w:r>
            <w:r w:rsidR="00891FC2" w:rsidRPr="00891FC2">
              <w:t xml:space="preserve"> ze Souboru 2</w:t>
            </w:r>
            <w:r w:rsidRPr="00891FC2">
              <w:t>, které netvoří</w:t>
            </w:r>
            <w:r w:rsidR="007E6D27" w:rsidRPr="00891FC2">
              <w:t xml:space="preserve"> </w:t>
            </w:r>
            <w:r w:rsidRPr="00891FC2">
              <w:t>zajištění pohledávek</w:t>
            </w:r>
            <w:r w:rsidR="008A2C57">
              <w:t xml:space="preserve"> </w:t>
            </w:r>
            <w:r w:rsidR="007E6D27" w:rsidRPr="00891FC2">
              <w:t>žádného zajištěného věřitele</w:t>
            </w:r>
            <w:r w:rsidR="009C3A0C" w:rsidRPr="00891FC2">
              <w:t>;</w:t>
            </w:r>
            <w:r w:rsidR="009C3A0C">
              <w:t xml:space="preserve"> </w:t>
            </w:r>
          </w:p>
        </w:tc>
      </w:tr>
      <w:tr w:rsidR="00FD5802" w14:paraId="29F98632" w14:textId="77777777" w:rsidTr="003503CD">
        <w:trPr>
          <w:gridAfter w:val="1"/>
          <w:wAfter w:w="4680" w:type="dxa"/>
        </w:trPr>
        <w:tc>
          <w:tcPr>
            <w:tcW w:w="9784" w:type="dxa"/>
            <w:gridSpan w:val="4"/>
          </w:tcPr>
          <w:p w14:paraId="22D56D6B" w14:textId="77777777" w:rsidR="00FD5802" w:rsidRDefault="00FD5802" w:rsidP="003503CD">
            <w:pPr>
              <w:rPr>
                <w:b/>
              </w:rPr>
            </w:pPr>
          </w:p>
          <w:p w14:paraId="70D35844" w14:textId="77777777" w:rsidR="00F7155F" w:rsidRDefault="00F7155F" w:rsidP="003503CD">
            <w:pPr>
              <w:rPr>
                <w:b/>
              </w:rPr>
            </w:pPr>
          </w:p>
          <w:p w14:paraId="76EE23F5" w14:textId="77777777" w:rsidR="006F6646" w:rsidRDefault="006F6646" w:rsidP="003503CD">
            <w:pPr>
              <w:rPr>
                <w:b/>
              </w:rPr>
            </w:pPr>
          </w:p>
          <w:p w14:paraId="28E66691" w14:textId="77777777" w:rsidR="006F6646" w:rsidRDefault="006F6646" w:rsidP="003503CD">
            <w:pPr>
              <w:rPr>
                <w:b/>
              </w:rPr>
            </w:pPr>
          </w:p>
        </w:tc>
      </w:tr>
      <w:tr w:rsidR="00FD5802" w14:paraId="18543FD9" w14:textId="77777777" w:rsidTr="003503CD">
        <w:trPr>
          <w:gridAfter w:val="1"/>
          <w:wAfter w:w="4680" w:type="dxa"/>
        </w:trPr>
        <w:tc>
          <w:tcPr>
            <w:tcW w:w="9784" w:type="dxa"/>
            <w:gridSpan w:val="4"/>
            <w:hideMark/>
          </w:tcPr>
          <w:p w14:paraId="649DE482" w14:textId="77777777" w:rsidR="00FD5802" w:rsidRDefault="00FD5802" w:rsidP="003503CD">
            <w:r>
              <w:rPr>
                <w:b/>
              </w:rPr>
              <w:t>SE STRANY DOHODLY TAKTO:</w:t>
            </w:r>
          </w:p>
        </w:tc>
      </w:tr>
      <w:tr w:rsidR="00FD5802" w14:paraId="1F898EA7" w14:textId="77777777" w:rsidTr="003503CD">
        <w:trPr>
          <w:gridAfter w:val="1"/>
          <w:wAfter w:w="4680" w:type="dxa"/>
        </w:trPr>
        <w:tc>
          <w:tcPr>
            <w:tcW w:w="9784" w:type="dxa"/>
            <w:gridSpan w:val="4"/>
          </w:tcPr>
          <w:p w14:paraId="73221B88" w14:textId="77777777" w:rsidR="00FD5802" w:rsidRDefault="00FD5802" w:rsidP="003503CD"/>
          <w:p w14:paraId="7E8716FB" w14:textId="77777777" w:rsidR="006F6646" w:rsidRDefault="006F6646" w:rsidP="003503CD"/>
        </w:tc>
      </w:tr>
      <w:tr w:rsidR="00FD5802" w14:paraId="53B53310" w14:textId="77777777" w:rsidTr="003503CD">
        <w:trPr>
          <w:gridAfter w:val="1"/>
          <w:wAfter w:w="4680" w:type="dxa"/>
        </w:trPr>
        <w:tc>
          <w:tcPr>
            <w:tcW w:w="9784" w:type="dxa"/>
            <w:gridSpan w:val="4"/>
            <w:hideMark/>
          </w:tcPr>
          <w:p w14:paraId="7B324CB2" w14:textId="77777777" w:rsidR="00FD5802" w:rsidRDefault="00FD5802" w:rsidP="003503CD">
            <w:pPr>
              <w:pStyle w:val="Odstavecseseznamem"/>
              <w:numPr>
                <w:ilvl w:val="0"/>
                <w:numId w:val="18"/>
              </w:numPr>
              <w:ind w:left="0" w:firstLine="0"/>
              <w:rPr>
                <w:b/>
              </w:rPr>
            </w:pPr>
            <w:r>
              <w:rPr>
                <w:b/>
              </w:rPr>
              <w:t>POSTOUPENÍ POHLEDÁVEK</w:t>
            </w:r>
          </w:p>
        </w:tc>
      </w:tr>
      <w:tr w:rsidR="00FD5802" w14:paraId="3F8E4AFF" w14:textId="77777777" w:rsidTr="003503CD">
        <w:trPr>
          <w:gridAfter w:val="1"/>
          <w:wAfter w:w="4680" w:type="dxa"/>
        </w:trPr>
        <w:tc>
          <w:tcPr>
            <w:tcW w:w="9784" w:type="dxa"/>
            <w:gridSpan w:val="4"/>
          </w:tcPr>
          <w:p w14:paraId="6974C3F4" w14:textId="77777777" w:rsidR="00FD5802" w:rsidRDefault="00FD5802" w:rsidP="003503CD">
            <w:pPr>
              <w:pStyle w:val="Odstavecseseznamem"/>
              <w:ind w:left="0"/>
            </w:pPr>
          </w:p>
        </w:tc>
      </w:tr>
      <w:tr w:rsidR="00FD5802" w14:paraId="39914D90" w14:textId="77777777" w:rsidTr="003503CD">
        <w:trPr>
          <w:gridAfter w:val="1"/>
          <w:wAfter w:w="4680" w:type="dxa"/>
        </w:trPr>
        <w:tc>
          <w:tcPr>
            <w:tcW w:w="9784" w:type="dxa"/>
            <w:gridSpan w:val="4"/>
            <w:hideMark/>
          </w:tcPr>
          <w:p w14:paraId="50DFECEE" w14:textId="77777777" w:rsidR="00FD5802" w:rsidRDefault="00FD5802" w:rsidP="00891FC2">
            <w:pPr>
              <w:pStyle w:val="Odstavecseseznamem"/>
              <w:numPr>
                <w:ilvl w:val="1"/>
                <w:numId w:val="18"/>
              </w:numPr>
              <w:ind w:left="709" w:hanging="709"/>
              <w:jc w:val="both"/>
            </w:pPr>
            <w:r>
              <w:t>Postupitel za podmínek stanovených touto Smlouvou</w:t>
            </w:r>
            <w:r w:rsidR="00010F85">
              <w:t xml:space="preserve"> úplatně</w:t>
            </w:r>
            <w:r>
              <w:t xml:space="preserve"> postupuje na Postupníka s účinností ke </w:t>
            </w:r>
            <w:r w:rsidR="00010F85">
              <w:t>dni podpisu této Smlouvy</w:t>
            </w:r>
            <w:r>
              <w:t xml:space="preserve"> </w:t>
            </w:r>
            <w:r w:rsidR="00891FC2">
              <w:t>Soubor 1 a Soubor 2</w:t>
            </w:r>
            <w:r w:rsidR="001433F4">
              <w:t>.</w:t>
            </w:r>
          </w:p>
        </w:tc>
      </w:tr>
      <w:tr w:rsidR="00FD5802" w14:paraId="0E1DB0F4" w14:textId="77777777" w:rsidTr="003503CD">
        <w:trPr>
          <w:gridAfter w:val="1"/>
          <w:wAfter w:w="4680" w:type="dxa"/>
        </w:trPr>
        <w:tc>
          <w:tcPr>
            <w:tcW w:w="9784" w:type="dxa"/>
            <w:gridSpan w:val="4"/>
          </w:tcPr>
          <w:p w14:paraId="165964C2" w14:textId="77777777" w:rsidR="003F1AFB" w:rsidRDefault="003F1AFB" w:rsidP="003503CD">
            <w:pPr>
              <w:jc w:val="both"/>
            </w:pPr>
          </w:p>
          <w:p w14:paraId="7E7B18FA" w14:textId="77777777" w:rsidR="00FD5802" w:rsidRDefault="00FD5802" w:rsidP="003503CD">
            <w:pPr>
              <w:pStyle w:val="Odstavecseseznamem"/>
              <w:numPr>
                <w:ilvl w:val="1"/>
                <w:numId w:val="18"/>
              </w:numPr>
              <w:ind w:left="709" w:hanging="709"/>
              <w:jc w:val="both"/>
            </w:pPr>
            <w:r>
              <w:t>S Pohledávkami přechází na Postupníka i veškeré příslušenství a práva s Pohledávkami spojen</w:t>
            </w:r>
            <w:r w:rsidR="00165710">
              <w:t>á</w:t>
            </w:r>
            <w:r>
              <w:t xml:space="preserve">. </w:t>
            </w:r>
          </w:p>
          <w:p w14:paraId="537A18FE" w14:textId="77777777" w:rsidR="00FD5802" w:rsidRDefault="00FD5802" w:rsidP="003503CD">
            <w:pPr>
              <w:pStyle w:val="Odstavecseseznamem"/>
              <w:ind w:left="709"/>
              <w:jc w:val="both"/>
            </w:pPr>
          </w:p>
        </w:tc>
      </w:tr>
      <w:tr w:rsidR="00FD5802" w14:paraId="4A551650" w14:textId="77777777" w:rsidTr="003503CD">
        <w:trPr>
          <w:gridAfter w:val="1"/>
          <w:wAfter w:w="4680" w:type="dxa"/>
        </w:trPr>
        <w:tc>
          <w:tcPr>
            <w:tcW w:w="9784" w:type="dxa"/>
            <w:gridSpan w:val="4"/>
          </w:tcPr>
          <w:p w14:paraId="241A2A9A" w14:textId="77777777" w:rsidR="00FD5802" w:rsidRDefault="00FD5802" w:rsidP="003503CD">
            <w:pPr>
              <w:pStyle w:val="Odstavecseseznamem"/>
              <w:numPr>
                <w:ilvl w:val="1"/>
                <w:numId w:val="18"/>
              </w:numPr>
              <w:ind w:left="709" w:hanging="709"/>
              <w:jc w:val="both"/>
            </w:pPr>
            <w:r>
              <w:t xml:space="preserve">Postupník </w:t>
            </w:r>
            <w:r w:rsidR="002F543A">
              <w:t xml:space="preserve">Soubor 1 a Soubor 2 přijímá do svého vlastnictví </w:t>
            </w:r>
            <w:r>
              <w:t xml:space="preserve">včetně příslušenství a práv </w:t>
            </w:r>
            <w:r w:rsidR="00010F85">
              <w:t xml:space="preserve">spojených </w:t>
            </w:r>
            <w:r>
              <w:t>s</w:t>
            </w:r>
            <w:r w:rsidR="002F543A">
              <w:t> </w:t>
            </w:r>
            <w:r>
              <w:t>Pohledávkami.</w:t>
            </w:r>
          </w:p>
          <w:p w14:paraId="1AE124FF" w14:textId="77777777" w:rsidR="00FD5802" w:rsidRDefault="00FD5802" w:rsidP="003503CD">
            <w:pPr>
              <w:pStyle w:val="Odstavecseseznamem"/>
              <w:ind w:left="709"/>
              <w:jc w:val="both"/>
            </w:pPr>
          </w:p>
        </w:tc>
      </w:tr>
      <w:tr w:rsidR="00FD5802" w14:paraId="69052B8F" w14:textId="77777777" w:rsidTr="003503CD">
        <w:trPr>
          <w:gridAfter w:val="1"/>
          <w:wAfter w:w="4680" w:type="dxa"/>
          <w:trHeight w:val="827"/>
        </w:trPr>
        <w:tc>
          <w:tcPr>
            <w:tcW w:w="9784" w:type="dxa"/>
            <w:gridSpan w:val="4"/>
          </w:tcPr>
          <w:p w14:paraId="3D45E66F" w14:textId="77777777" w:rsidR="00FD5802" w:rsidRDefault="00FD5802" w:rsidP="003503CD">
            <w:pPr>
              <w:pStyle w:val="Odstavecseseznamem"/>
              <w:numPr>
                <w:ilvl w:val="1"/>
                <w:numId w:val="18"/>
              </w:numPr>
              <w:ind w:left="709" w:hanging="709"/>
              <w:jc w:val="both"/>
            </w:pPr>
            <w:r>
              <w:t>Postupitel a Postupník shodně prohlašují, že předmětem postoupení j</w:t>
            </w:r>
            <w:r w:rsidR="002F543A">
              <w:t>e Soubor 1 a Soubor 2</w:t>
            </w:r>
            <w:r>
              <w:t xml:space="preserve"> bez ohledu na právní důvod vzniku</w:t>
            </w:r>
            <w:r w:rsidR="002F543A">
              <w:t xml:space="preserve"> Pohledávek</w:t>
            </w:r>
            <w:r>
              <w:t>, tedy jsou postupovány i případné pohledávky Postupitele za uvedeným dlužníkem z titulu bezdůvodného obohacení</w:t>
            </w:r>
            <w:r w:rsidR="001105E5">
              <w:t xml:space="preserve"> vzniklého v důsledku</w:t>
            </w:r>
            <w:r>
              <w:t xml:space="preserve"> náhrady škody, smluvních pokut apod.</w:t>
            </w:r>
          </w:p>
          <w:p w14:paraId="3DA61554" w14:textId="77777777" w:rsidR="003503CD" w:rsidRDefault="003503CD" w:rsidP="003503CD">
            <w:pPr>
              <w:jc w:val="both"/>
            </w:pPr>
          </w:p>
          <w:p w14:paraId="278D0BA9" w14:textId="77777777" w:rsidR="006F6646" w:rsidRDefault="006F6646" w:rsidP="003503CD">
            <w:pPr>
              <w:jc w:val="both"/>
            </w:pPr>
          </w:p>
        </w:tc>
      </w:tr>
      <w:tr w:rsidR="00FD5802" w14:paraId="68D6DAF7" w14:textId="77777777" w:rsidTr="003503CD">
        <w:trPr>
          <w:gridAfter w:val="1"/>
          <w:wAfter w:w="4680" w:type="dxa"/>
        </w:trPr>
        <w:tc>
          <w:tcPr>
            <w:tcW w:w="9784" w:type="dxa"/>
            <w:gridSpan w:val="4"/>
            <w:hideMark/>
          </w:tcPr>
          <w:p w14:paraId="0664ECA3" w14:textId="77777777" w:rsidR="00FD5802" w:rsidRDefault="00FD5802" w:rsidP="003503CD">
            <w:pPr>
              <w:pStyle w:val="Odstavecseseznamem"/>
              <w:numPr>
                <w:ilvl w:val="0"/>
                <w:numId w:val="18"/>
              </w:numPr>
              <w:ind w:left="0" w:firstLine="0"/>
              <w:rPr>
                <w:b/>
              </w:rPr>
            </w:pPr>
            <w:r>
              <w:rPr>
                <w:b/>
              </w:rPr>
              <w:t>ÚPLATA ZA POSTOUPENÍ POHLEDÁVEK</w:t>
            </w:r>
          </w:p>
        </w:tc>
      </w:tr>
      <w:tr w:rsidR="00FD5802" w14:paraId="7C31FD5C" w14:textId="77777777" w:rsidTr="003503CD">
        <w:trPr>
          <w:gridAfter w:val="1"/>
          <w:wAfter w:w="4680" w:type="dxa"/>
        </w:trPr>
        <w:tc>
          <w:tcPr>
            <w:tcW w:w="9784" w:type="dxa"/>
            <w:gridSpan w:val="4"/>
          </w:tcPr>
          <w:p w14:paraId="159B26F3" w14:textId="77777777" w:rsidR="00FD5802" w:rsidRDefault="00FD5802" w:rsidP="003503CD">
            <w:pPr>
              <w:pStyle w:val="Odstavecseseznamem"/>
              <w:jc w:val="both"/>
            </w:pPr>
          </w:p>
        </w:tc>
      </w:tr>
      <w:tr w:rsidR="00FD5802" w14:paraId="380EADE6" w14:textId="77777777" w:rsidTr="003503CD">
        <w:trPr>
          <w:gridAfter w:val="1"/>
          <w:wAfter w:w="4680" w:type="dxa"/>
        </w:trPr>
        <w:tc>
          <w:tcPr>
            <w:tcW w:w="9784" w:type="dxa"/>
            <w:gridSpan w:val="4"/>
          </w:tcPr>
          <w:p w14:paraId="24D19E65" w14:textId="77777777" w:rsidR="00FD5802" w:rsidRPr="005F323C" w:rsidRDefault="00FD5802" w:rsidP="003503CD">
            <w:pPr>
              <w:pStyle w:val="Odstavecseseznamem"/>
              <w:numPr>
                <w:ilvl w:val="1"/>
                <w:numId w:val="18"/>
              </w:numPr>
              <w:ind w:left="709" w:hanging="709"/>
              <w:jc w:val="both"/>
            </w:pPr>
            <w:r w:rsidRPr="002532C9">
              <w:t xml:space="preserve">Úplata, kterou Postupník uhradil Postupiteli za postoupení </w:t>
            </w:r>
            <w:r w:rsidR="002F543A" w:rsidRPr="002532C9">
              <w:t xml:space="preserve">Souboru1 a Souboru 2 </w:t>
            </w:r>
            <w:r w:rsidRPr="002532C9">
              <w:t>před podpisem této Smlouvy</w:t>
            </w:r>
            <w:r w:rsidR="00010F85" w:rsidRPr="002532C9">
              <w:t>,</w:t>
            </w:r>
            <w:r w:rsidRPr="002532C9">
              <w:t xml:space="preserve"> činí: </w:t>
            </w:r>
          </w:p>
          <w:p w14:paraId="18B658CB" w14:textId="77777777" w:rsidR="00FD5802" w:rsidRPr="005F323C" w:rsidRDefault="00FD5802" w:rsidP="003503CD">
            <w:pPr>
              <w:pStyle w:val="Odstavecseseznamem"/>
              <w:ind w:left="709"/>
              <w:jc w:val="both"/>
            </w:pPr>
          </w:p>
          <w:p w14:paraId="26791DE4" w14:textId="77777777" w:rsidR="00FD5802" w:rsidRPr="005F323C" w:rsidRDefault="00FD5802" w:rsidP="003503CD">
            <w:pPr>
              <w:pStyle w:val="Odstavecseseznamem"/>
              <w:ind w:left="709"/>
              <w:jc w:val="both"/>
            </w:pPr>
            <w:r w:rsidRPr="005F323C">
              <w:t>_________________Kč (slovy: __________________________________________ korun českých)</w:t>
            </w:r>
          </w:p>
          <w:p w14:paraId="0F7C8BDF" w14:textId="6CCE6426" w:rsidR="00FD5802" w:rsidRDefault="00FD5802" w:rsidP="002532C9">
            <w:pPr>
              <w:pStyle w:val="Odstavecseseznamem"/>
              <w:ind w:left="709"/>
              <w:jc w:val="both"/>
            </w:pPr>
            <w:r w:rsidRPr="005F323C">
              <w:t xml:space="preserve"> (dále jen „</w:t>
            </w:r>
            <w:r w:rsidRPr="005F323C">
              <w:rPr>
                <w:b/>
              </w:rPr>
              <w:t>Úplata</w:t>
            </w:r>
            <w:r w:rsidRPr="005F323C">
              <w:t xml:space="preserve">”) s tím, že dílčí úplata za </w:t>
            </w:r>
            <w:r w:rsidR="002F543A" w:rsidRPr="005F323C">
              <w:t>Soubor 1 a za Soubor 2 je rozdělen</w:t>
            </w:r>
            <w:r w:rsidR="008A2C57" w:rsidRPr="005F323C">
              <w:t>a</w:t>
            </w:r>
            <w:r w:rsidR="002F543A" w:rsidRPr="005F323C">
              <w:t xml:space="preserve"> v</w:t>
            </w:r>
            <w:r w:rsidR="002F543A" w:rsidRPr="002532C9">
              <w:t xml:space="preserve"> poměru </w:t>
            </w:r>
            <w:r w:rsidR="00452490" w:rsidRPr="002532C9">
              <w:rPr>
                <w:rFonts w:cstheme="minorHAnsi"/>
              </w:rPr>
              <w:t>64,85</w:t>
            </w:r>
            <w:r w:rsidR="002532C9">
              <w:rPr>
                <w:rFonts w:cstheme="minorHAnsi"/>
              </w:rPr>
              <w:t xml:space="preserve"> </w:t>
            </w:r>
            <w:r w:rsidR="00452490" w:rsidRPr="002532C9">
              <w:rPr>
                <w:rFonts w:cstheme="minorHAnsi"/>
              </w:rPr>
              <w:t xml:space="preserve">ku 34,15 </w:t>
            </w:r>
            <w:r w:rsidR="002F543A" w:rsidRPr="002532C9">
              <w:t>a</w:t>
            </w:r>
            <w:r w:rsidRPr="002532C9">
              <w:t xml:space="preserve"> </w:t>
            </w:r>
            <w:r w:rsidR="00466E6D" w:rsidRPr="002532C9">
              <w:t xml:space="preserve">po zaokrouhlení </w:t>
            </w:r>
            <w:r w:rsidRPr="002532C9">
              <w:t xml:space="preserve">odpovídá ve vztahu k celkové Úplatě poměru </w:t>
            </w:r>
            <w:r w:rsidR="002F543A" w:rsidRPr="002532C9">
              <w:t xml:space="preserve">celkového součtu </w:t>
            </w:r>
            <w:r w:rsidR="004C2021" w:rsidRPr="002532C9">
              <w:t xml:space="preserve">nominálních hodnot </w:t>
            </w:r>
            <w:r w:rsidRPr="002532C9">
              <w:t xml:space="preserve">jistin dílčích pohledávek </w:t>
            </w:r>
            <w:r w:rsidR="002F543A" w:rsidRPr="002532C9">
              <w:t>ze Souboru 1</w:t>
            </w:r>
            <w:r w:rsidRPr="002532C9">
              <w:t xml:space="preserve"> vůči celkovému součtu nominálních hodnot jistin </w:t>
            </w:r>
            <w:r w:rsidR="008A2C57" w:rsidRPr="002532C9">
              <w:t xml:space="preserve">dílčích pohledávek </w:t>
            </w:r>
            <w:r w:rsidR="004C2021" w:rsidRPr="002532C9">
              <w:t>ze Souboru 2</w:t>
            </w:r>
            <w:r w:rsidRPr="002532C9">
              <w:t>.</w:t>
            </w:r>
          </w:p>
        </w:tc>
      </w:tr>
      <w:tr w:rsidR="00FD5802" w14:paraId="17586AA3" w14:textId="77777777" w:rsidTr="003503CD">
        <w:trPr>
          <w:gridAfter w:val="1"/>
          <w:wAfter w:w="4680" w:type="dxa"/>
        </w:trPr>
        <w:tc>
          <w:tcPr>
            <w:tcW w:w="9784" w:type="dxa"/>
            <w:gridSpan w:val="4"/>
            <w:hideMark/>
          </w:tcPr>
          <w:p w14:paraId="263219C3" w14:textId="77777777" w:rsidR="00010F85" w:rsidRDefault="00010F85" w:rsidP="003503CD">
            <w:pPr>
              <w:pStyle w:val="Odstavecseseznamem"/>
              <w:ind w:left="0"/>
              <w:rPr>
                <w:b/>
              </w:rPr>
            </w:pPr>
          </w:p>
          <w:p w14:paraId="6B131312" w14:textId="77777777" w:rsidR="006F6646" w:rsidRDefault="006F6646" w:rsidP="003503CD">
            <w:pPr>
              <w:pStyle w:val="Odstavecseseznamem"/>
              <w:ind w:left="0"/>
              <w:rPr>
                <w:b/>
              </w:rPr>
            </w:pPr>
          </w:p>
          <w:p w14:paraId="55CF9372" w14:textId="77777777" w:rsidR="00FD5802" w:rsidRDefault="00FD5802" w:rsidP="003503CD">
            <w:pPr>
              <w:pStyle w:val="Odstavecseseznamem"/>
              <w:numPr>
                <w:ilvl w:val="0"/>
                <w:numId w:val="18"/>
              </w:numPr>
              <w:ind w:left="0" w:firstLine="0"/>
              <w:rPr>
                <w:b/>
              </w:rPr>
            </w:pPr>
            <w:r>
              <w:rPr>
                <w:b/>
              </w:rPr>
              <w:t>PROHLÁŠENÍ A UJIŠTĚNÍ POSTUPITELE</w:t>
            </w:r>
          </w:p>
        </w:tc>
      </w:tr>
      <w:tr w:rsidR="00FD5802" w14:paraId="2C2DC52C" w14:textId="77777777" w:rsidTr="003503CD">
        <w:trPr>
          <w:gridAfter w:val="1"/>
          <w:wAfter w:w="4680" w:type="dxa"/>
        </w:trPr>
        <w:tc>
          <w:tcPr>
            <w:tcW w:w="9784" w:type="dxa"/>
            <w:gridSpan w:val="4"/>
          </w:tcPr>
          <w:p w14:paraId="35FFAA1C" w14:textId="77777777" w:rsidR="00FD5802" w:rsidRDefault="00FD5802" w:rsidP="003503CD"/>
        </w:tc>
      </w:tr>
      <w:tr w:rsidR="00FD5802" w14:paraId="1B5C4E7B" w14:textId="77777777" w:rsidTr="003503CD">
        <w:trPr>
          <w:gridAfter w:val="1"/>
          <w:wAfter w:w="4680" w:type="dxa"/>
        </w:trPr>
        <w:tc>
          <w:tcPr>
            <w:tcW w:w="9784" w:type="dxa"/>
            <w:gridSpan w:val="4"/>
            <w:hideMark/>
          </w:tcPr>
          <w:p w14:paraId="72F1EA05" w14:textId="77777777" w:rsidR="00FD5802" w:rsidRDefault="00FD5802" w:rsidP="003503CD">
            <w:pPr>
              <w:pStyle w:val="Odstavecseseznamem"/>
              <w:ind w:left="709"/>
              <w:jc w:val="both"/>
            </w:pPr>
            <w:r>
              <w:t>Postupitel prohlašuje Postupníkovi a ujišťuje jej, že:</w:t>
            </w:r>
          </w:p>
          <w:p w14:paraId="45ABB522" w14:textId="77777777" w:rsidR="00010F85" w:rsidRDefault="00FD5802" w:rsidP="003503CD">
            <w:pPr>
              <w:pStyle w:val="Odstavecseseznamem"/>
              <w:numPr>
                <w:ilvl w:val="0"/>
                <w:numId w:val="26"/>
              </w:numPr>
              <w:jc w:val="both"/>
            </w:pPr>
            <w:r>
              <w:t>je oprávněn tuto Smlouvu uzavřít;</w:t>
            </w:r>
          </w:p>
          <w:p w14:paraId="6750A1CE" w14:textId="77777777" w:rsidR="00FD5802" w:rsidRDefault="00FD5802" w:rsidP="003503CD">
            <w:pPr>
              <w:pStyle w:val="Odstavecseseznamem"/>
              <w:numPr>
                <w:ilvl w:val="0"/>
                <w:numId w:val="26"/>
              </w:numPr>
              <w:jc w:val="both"/>
            </w:pPr>
            <w:r>
              <w:t>uzavřením a plněním této Smlouvy neporuší žádnou svou zákonnou nebo smluvně převzatou povinnost.</w:t>
            </w:r>
          </w:p>
        </w:tc>
      </w:tr>
      <w:tr w:rsidR="00FD5802" w14:paraId="062C2319" w14:textId="77777777" w:rsidTr="003503CD">
        <w:trPr>
          <w:gridAfter w:val="1"/>
          <w:wAfter w:w="4680" w:type="dxa"/>
        </w:trPr>
        <w:tc>
          <w:tcPr>
            <w:tcW w:w="9784" w:type="dxa"/>
            <w:gridSpan w:val="4"/>
          </w:tcPr>
          <w:p w14:paraId="3F3B74B7" w14:textId="77777777" w:rsidR="00FD5802" w:rsidRDefault="00FD5802" w:rsidP="003503CD"/>
          <w:p w14:paraId="66F95483" w14:textId="77777777" w:rsidR="006F6646" w:rsidRDefault="006F6646" w:rsidP="003503CD"/>
        </w:tc>
      </w:tr>
      <w:tr w:rsidR="00FD5802" w14:paraId="6DF33432" w14:textId="77777777" w:rsidTr="003503CD">
        <w:trPr>
          <w:gridAfter w:val="1"/>
          <w:wAfter w:w="4680" w:type="dxa"/>
        </w:trPr>
        <w:tc>
          <w:tcPr>
            <w:tcW w:w="9784" w:type="dxa"/>
            <w:gridSpan w:val="4"/>
            <w:hideMark/>
          </w:tcPr>
          <w:p w14:paraId="664B3312" w14:textId="77777777" w:rsidR="00FD5802" w:rsidRDefault="00FD5802" w:rsidP="003503CD">
            <w:pPr>
              <w:pStyle w:val="Odstavecseseznamem"/>
              <w:numPr>
                <w:ilvl w:val="0"/>
                <w:numId w:val="18"/>
              </w:numPr>
              <w:ind w:left="0" w:firstLine="0"/>
            </w:pPr>
            <w:r>
              <w:rPr>
                <w:b/>
              </w:rPr>
              <w:t>PROHLÁŠENÍ A UJIŠTĚNÍ POSTUPNÍKA</w:t>
            </w:r>
          </w:p>
        </w:tc>
      </w:tr>
      <w:tr w:rsidR="00FD5802" w14:paraId="25D58D25" w14:textId="77777777" w:rsidTr="003503CD">
        <w:trPr>
          <w:gridAfter w:val="1"/>
          <w:wAfter w:w="4680" w:type="dxa"/>
        </w:trPr>
        <w:tc>
          <w:tcPr>
            <w:tcW w:w="9784" w:type="dxa"/>
            <w:gridSpan w:val="4"/>
          </w:tcPr>
          <w:p w14:paraId="26264944" w14:textId="77777777" w:rsidR="00FD5802" w:rsidRDefault="00FD5802" w:rsidP="003503CD"/>
        </w:tc>
      </w:tr>
      <w:tr w:rsidR="00FD5802" w14:paraId="5B34805E" w14:textId="77777777" w:rsidTr="003503CD">
        <w:trPr>
          <w:gridAfter w:val="1"/>
          <w:wAfter w:w="4680" w:type="dxa"/>
        </w:trPr>
        <w:tc>
          <w:tcPr>
            <w:tcW w:w="9784" w:type="dxa"/>
            <w:gridSpan w:val="4"/>
            <w:hideMark/>
          </w:tcPr>
          <w:p w14:paraId="0C949D4F" w14:textId="77777777" w:rsidR="00FD5802" w:rsidRDefault="00FD5802" w:rsidP="003503CD">
            <w:pPr>
              <w:pStyle w:val="Odstavecseseznamem"/>
              <w:ind w:left="709"/>
              <w:jc w:val="both"/>
            </w:pPr>
            <w:r>
              <w:t xml:space="preserve">Postupník prohlašuje Postupiteli a ujišťuje jej, že: </w:t>
            </w:r>
          </w:p>
          <w:p w14:paraId="3C63A383" w14:textId="77777777" w:rsidR="00FD5802" w:rsidRDefault="00FD5802" w:rsidP="003503CD">
            <w:pPr>
              <w:pStyle w:val="Odstavecseseznamem"/>
              <w:numPr>
                <w:ilvl w:val="0"/>
                <w:numId w:val="24"/>
              </w:numPr>
              <w:jc w:val="both"/>
            </w:pPr>
            <w:r>
              <w:t>osoby jednající a podepisující za Postupníka tuto Smlouvu jsou oprávněny tuto Smlouvu jeho jménem uzavřít a uzavření této Smlouvy bylo příslušnými orgány Postupníka řádně schváleno;</w:t>
            </w:r>
          </w:p>
          <w:p w14:paraId="55849AD3" w14:textId="77777777" w:rsidR="00FD5802" w:rsidRDefault="00FD5802" w:rsidP="003503CD">
            <w:pPr>
              <w:pStyle w:val="Odstavecseseznamem"/>
              <w:numPr>
                <w:ilvl w:val="0"/>
                <w:numId w:val="24"/>
              </w:numPr>
              <w:jc w:val="both"/>
            </w:pPr>
            <w:r>
              <w:t>uzavřením a plněním této Smlouvy neporuší žádnou svou zákonnou nebo smluvně převzatou povinnost.</w:t>
            </w:r>
          </w:p>
        </w:tc>
      </w:tr>
      <w:tr w:rsidR="00FD5802" w14:paraId="024B3B46" w14:textId="77777777" w:rsidTr="003503CD">
        <w:trPr>
          <w:gridAfter w:val="1"/>
          <w:wAfter w:w="4680" w:type="dxa"/>
        </w:trPr>
        <w:tc>
          <w:tcPr>
            <w:tcW w:w="9784" w:type="dxa"/>
            <w:gridSpan w:val="4"/>
          </w:tcPr>
          <w:p w14:paraId="082D8FB0" w14:textId="77777777" w:rsidR="00FD5802" w:rsidRDefault="00FD5802" w:rsidP="003503CD"/>
          <w:p w14:paraId="56EDF7E0" w14:textId="77777777" w:rsidR="006F6646" w:rsidRDefault="006F6646" w:rsidP="003503CD"/>
        </w:tc>
      </w:tr>
      <w:tr w:rsidR="00FD5802" w14:paraId="3F5F6456" w14:textId="77777777" w:rsidTr="003503CD">
        <w:trPr>
          <w:gridAfter w:val="1"/>
          <w:wAfter w:w="4680" w:type="dxa"/>
        </w:trPr>
        <w:tc>
          <w:tcPr>
            <w:tcW w:w="9784" w:type="dxa"/>
            <w:gridSpan w:val="4"/>
            <w:hideMark/>
          </w:tcPr>
          <w:p w14:paraId="1B2D9950" w14:textId="77777777" w:rsidR="00FD5802" w:rsidRDefault="00FD5802" w:rsidP="003503CD">
            <w:pPr>
              <w:pStyle w:val="Odstavecseseznamem"/>
              <w:numPr>
                <w:ilvl w:val="0"/>
                <w:numId w:val="18"/>
              </w:numPr>
              <w:ind w:left="0" w:firstLine="0"/>
            </w:pPr>
            <w:r>
              <w:rPr>
                <w:b/>
              </w:rPr>
              <w:lastRenderedPageBreak/>
              <w:t>ODPOVĚDNOST POSTUPITELE V SOUVISLOSTI S POSTOUPENÍM POHLEDÁVEK</w:t>
            </w:r>
          </w:p>
        </w:tc>
      </w:tr>
      <w:tr w:rsidR="00FD5802" w14:paraId="106D8197" w14:textId="77777777" w:rsidTr="003503CD">
        <w:trPr>
          <w:gridAfter w:val="1"/>
          <w:wAfter w:w="4680" w:type="dxa"/>
        </w:trPr>
        <w:tc>
          <w:tcPr>
            <w:tcW w:w="9784" w:type="dxa"/>
            <w:gridSpan w:val="4"/>
          </w:tcPr>
          <w:p w14:paraId="499912A8" w14:textId="77777777" w:rsidR="00FD5802" w:rsidRDefault="00FD5802" w:rsidP="003503CD"/>
        </w:tc>
      </w:tr>
      <w:tr w:rsidR="00FD5802" w14:paraId="7C9D3306" w14:textId="77777777" w:rsidTr="003503CD">
        <w:trPr>
          <w:gridAfter w:val="1"/>
          <w:wAfter w:w="4680" w:type="dxa"/>
        </w:trPr>
        <w:tc>
          <w:tcPr>
            <w:tcW w:w="9784" w:type="dxa"/>
            <w:gridSpan w:val="4"/>
          </w:tcPr>
          <w:p w14:paraId="54112711" w14:textId="77777777" w:rsidR="00FD5802" w:rsidRDefault="00FD5802" w:rsidP="003503CD">
            <w:pPr>
              <w:pStyle w:val="Odstavecseseznamem"/>
              <w:numPr>
                <w:ilvl w:val="1"/>
                <w:numId w:val="18"/>
              </w:numPr>
              <w:ind w:left="743" w:hanging="743"/>
              <w:jc w:val="both"/>
              <w:rPr>
                <w:rFonts w:eastAsia="Calibri" w:cs="Tahoma"/>
                <w:bCs/>
                <w:szCs w:val="20"/>
              </w:rPr>
            </w:pPr>
            <w:r>
              <w:t xml:space="preserve">Strany výslovně prohlašují, že dohodnutým obsahem Pohledávek, za který Postupitel odpovídá, není existence Pohledávek, právní titul či výše Pohledávek, výše nebo existence jakéhokoli jejího příslušenství. Postupník proto </w:t>
            </w:r>
            <w:r w:rsidR="00856B69">
              <w:t xml:space="preserve">Soubor 1 a Soubor 2 </w:t>
            </w:r>
            <w:r>
              <w:t>přijímá za podmínek této Smlouvy s vědomím, že:</w:t>
            </w:r>
          </w:p>
          <w:p w14:paraId="31148D45" w14:textId="77777777" w:rsidR="00FD5802" w:rsidRPr="00564AC8" w:rsidRDefault="00FD5802" w:rsidP="003503CD">
            <w:pPr>
              <w:pStyle w:val="Odstavecseseznamem"/>
              <w:numPr>
                <w:ilvl w:val="1"/>
                <w:numId w:val="21"/>
              </w:numPr>
              <w:ind w:left="1452" w:hanging="425"/>
              <w:jc w:val="both"/>
              <w:rPr>
                <w:rFonts w:eastAsia="Calibri" w:cs="Tahoma"/>
                <w:bCs/>
                <w:szCs w:val="20"/>
              </w:rPr>
            </w:pPr>
            <w:r>
              <w:t>výše Pohledávek může být vyšší i nižší, než je uvedeno v čl. 1.1 této Smlouvy či jiných dokumentech předávaných Postupníkovi či poskytovaných Postupníkovi k nahlédnutí;</w:t>
            </w:r>
          </w:p>
          <w:p w14:paraId="7C7C5E97" w14:textId="77777777" w:rsidR="00FD5802" w:rsidRDefault="00FD5802" w:rsidP="003503CD">
            <w:pPr>
              <w:pStyle w:val="Odstavecseseznamem"/>
              <w:numPr>
                <w:ilvl w:val="1"/>
                <w:numId w:val="21"/>
              </w:numPr>
              <w:ind w:left="1452" w:hanging="425"/>
              <w:jc w:val="both"/>
              <w:rPr>
                <w:rFonts w:eastAsia="Calibri" w:cs="Tahoma"/>
                <w:bCs/>
                <w:szCs w:val="20"/>
              </w:rPr>
            </w:pPr>
            <w:r>
              <w:t>příslušenství Pohledávek může být vyšší i nižší, než je uvedeno v dokumentech předávaných Postupníkovi či poskytovaných Postupníkovi k nahlédnutí nebo nemusí vůbec existovat;</w:t>
            </w:r>
          </w:p>
          <w:p w14:paraId="4A45AE7B" w14:textId="77777777" w:rsidR="00856B69" w:rsidRPr="005F0A36" w:rsidRDefault="00FD5802" w:rsidP="003503CD">
            <w:pPr>
              <w:pStyle w:val="Odstavecseseznamem"/>
              <w:numPr>
                <w:ilvl w:val="1"/>
                <w:numId w:val="21"/>
              </w:numPr>
              <w:ind w:left="1452" w:hanging="425"/>
              <w:jc w:val="both"/>
              <w:rPr>
                <w:rFonts w:eastAsia="Calibri" w:cs="Tahoma"/>
                <w:bCs/>
                <w:szCs w:val="20"/>
              </w:rPr>
            </w:pPr>
            <w:r>
              <w:t>zajištění Pohledávek se může lišit od údajů sdělených Postupníkovi nebo nemusí vůbec existovat</w:t>
            </w:r>
            <w:r w:rsidR="00856B69">
              <w:t>;</w:t>
            </w:r>
          </w:p>
          <w:p w14:paraId="6E43869D" w14:textId="77777777" w:rsidR="00FD5802" w:rsidRDefault="00856B69" w:rsidP="003503CD">
            <w:pPr>
              <w:pStyle w:val="Odstavecseseznamem"/>
              <w:numPr>
                <w:ilvl w:val="1"/>
                <w:numId w:val="21"/>
              </w:numPr>
              <w:ind w:left="1452" w:hanging="425"/>
              <w:jc w:val="both"/>
              <w:rPr>
                <w:rFonts w:eastAsia="Calibri" w:cs="Tahoma"/>
                <w:bCs/>
                <w:szCs w:val="20"/>
              </w:rPr>
            </w:pPr>
            <w:r>
              <w:t>některé z pohledávek uvedených v Souboru 1 nebo Souboru 2 nemusí existovat</w:t>
            </w:r>
            <w:r w:rsidR="00FD5802">
              <w:t>.</w:t>
            </w:r>
          </w:p>
          <w:p w14:paraId="2F901E63" w14:textId="77777777" w:rsidR="00FD5802" w:rsidRDefault="00FD5802" w:rsidP="003503CD">
            <w:pPr>
              <w:pStyle w:val="Odstavecseseznamem"/>
              <w:ind w:left="1070"/>
              <w:jc w:val="both"/>
            </w:pPr>
          </w:p>
          <w:p w14:paraId="46EA7E6D" w14:textId="77777777" w:rsidR="00FD5802" w:rsidRDefault="00FD5802" w:rsidP="003503CD">
            <w:pPr>
              <w:pStyle w:val="Odstavecseseznamem"/>
              <w:numPr>
                <w:ilvl w:val="1"/>
                <w:numId w:val="18"/>
              </w:numPr>
              <w:ind w:left="743" w:hanging="709"/>
              <w:jc w:val="both"/>
            </w:pPr>
            <w:r>
              <w:t>Postupitel dále neodpovídá za:</w:t>
            </w:r>
          </w:p>
          <w:p w14:paraId="2D00F9DC" w14:textId="77777777" w:rsidR="00FD5802" w:rsidRDefault="00165710" w:rsidP="003503CD">
            <w:pPr>
              <w:pStyle w:val="Odstavecseseznamem"/>
              <w:numPr>
                <w:ilvl w:val="1"/>
                <w:numId w:val="22"/>
              </w:numPr>
              <w:ind w:left="1452" w:hanging="425"/>
              <w:jc w:val="both"/>
            </w:pPr>
            <w:r>
              <w:t>veškeré vady Pohledávek;</w:t>
            </w:r>
          </w:p>
          <w:p w14:paraId="197E33BB" w14:textId="77777777" w:rsidR="00FD5802" w:rsidRDefault="00FD5802" w:rsidP="003503CD">
            <w:pPr>
              <w:pStyle w:val="Odstavecseseznamem"/>
              <w:numPr>
                <w:ilvl w:val="1"/>
                <w:numId w:val="22"/>
              </w:numPr>
              <w:ind w:left="1452" w:hanging="425"/>
              <w:jc w:val="both"/>
            </w:pPr>
            <w:r>
              <w:t xml:space="preserve">případné promlčení Pohledávek, jejich dobytnost, vymahatelnost či špatnou bonitu. </w:t>
            </w:r>
          </w:p>
          <w:p w14:paraId="1993595D" w14:textId="77777777" w:rsidR="00FD5802" w:rsidRDefault="00FD5802" w:rsidP="003503CD">
            <w:pPr>
              <w:pStyle w:val="Odstavecseseznamem"/>
              <w:ind w:left="1070"/>
              <w:jc w:val="both"/>
            </w:pPr>
          </w:p>
          <w:p w14:paraId="44D802C0" w14:textId="77777777" w:rsidR="00FD5802" w:rsidRPr="005855C3" w:rsidRDefault="00FD5802" w:rsidP="003503CD">
            <w:pPr>
              <w:pStyle w:val="Odstavecseseznamem"/>
              <w:numPr>
                <w:ilvl w:val="1"/>
                <w:numId w:val="18"/>
              </w:numPr>
              <w:ind w:left="743" w:hanging="743"/>
              <w:jc w:val="both"/>
            </w:pPr>
            <w:r w:rsidRPr="005855C3">
              <w:t xml:space="preserve">Postupník bere na vědomí a přijímá </w:t>
            </w:r>
            <w:r w:rsidR="00B420FC">
              <w:t xml:space="preserve">Soubor 1 a Soubor 2 </w:t>
            </w:r>
            <w:r w:rsidRPr="005855C3">
              <w:t xml:space="preserve">s rizikem, že </w:t>
            </w:r>
            <w:r w:rsidR="00B420FC">
              <w:t xml:space="preserve">Pohledávky </w:t>
            </w:r>
            <w:r w:rsidRPr="005855C3">
              <w:t>m</w:t>
            </w:r>
            <w:r>
              <w:t>ohou být sporné, promlčené</w:t>
            </w:r>
            <w:r w:rsidRPr="005855C3">
              <w:t xml:space="preserve">, v jiné než v této Smlouvě uváděné výši, </w:t>
            </w:r>
            <w:r w:rsidRPr="003A6412">
              <w:t xml:space="preserve">a že </w:t>
            </w:r>
            <w:r w:rsidR="0006501A">
              <w:rPr>
                <w:color w:val="000000" w:themeColor="text1"/>
              </w:rPr>
              <w:t>dlužníci Pohledávek</w:t>
            </w:r>
            <w:r w:rsidRPr="003A6412">
              <w:t xml:space="preserve"> mohou být v úpadku a mohou vůči Postupníkovi v budoucnosti uplatnit skutečná nebo domnělá práva nebo námitky týkající se Pohledáv</w:t>
            </w:r>
            <w:r w:rsidR="00B420FC">
              <w:t>e</w:t>
            </w:r>
            <w:r w:rsidRPr="003A6412">
              <w:t>k</w:t>
            </w:r>
            <w:r>
              <w:rPr>
                <w:color w:val="000000" w:themeColor="text1"/>
              </w:rPr>
              <w:t>.</w:t>
            </w:r>
          </w:p>
          <w:p w14:paraId="2DEE61E8" w14:textId="77777777" w:rsidR="00FD5802" w:rsidRDefault="00FD5802" w:rsidP="003503CD">
            <w:pPr>
              <w:pStyle w:val="Odstavecseseznamem"/>
              <w:ind w:left="743"/>
              <w:jc w:val="both"/>
            </w:pPr>
          </w:p>
          <w:p w14:paraId="2D2ED92C" w14:textId="77777777" w:rsidR="00FD5802" w:rsidRDefault="00FD5802" w:rsidP="003503CD">
            <w:pPr>
              <w:pStyle w:val="Odstavecseseznamem"/>
              <w:numPr>
                <w:ilvl w:val="1"/>
                <w:numId w:val="18"/>
              </w:numPr>
              <w:ind w:left="743" w:hanging="743"/>
              <w:jc w:val="both"/>
            </w:pPr>
            <w:r>
              <w:t>Postupitel neodpovídá za úspěch v případných soudních a jiných řízeních k vymáhání Pohledávek a obraně věřitelských práv, ani za úplnost, přesnost ani pravdivost předávané dokumentace.</w:t>
            </w:r>
          </w:p>
          <w:p w14:paraId="794E494B" w14:textId="77777777" w:rsidR="00FD5802" w:rsidRDefault="00FD5802" w:rsidP="003503CD">
            <w:pPr>
              <w:pStyle w:val="Odstavecseseznamem"/>
              <w:jc w:val="both"/>
            </w:pPr>
          </w:p>
          <w:p w14:paraId="4B5EBA0E" w14:textId="77777777" w:rsidR="00890C56" w:rsidRDefault="00890C56" w:rsidP="003503CD">
            <w:pPr>
              <w:pStyle w:val="Odstavecseseznamem"/>
              <w:numPr>
                <w:ilvl w:val="1"/>
                <w:numId w:val="18"/>
              </w:numPr>
              <w:ind w:left="743" w:hanging="743"/>
              <w:jc w:val="both"/>
            </w:pPr>
            <w:r>
              <w:t xml:space="preserve">Smluvní strany se dohodly na vyloučení ustanovení § 1885 Občanského zákoníku. </w:t>
            </w:r>
          </w:p>
          <w:p w14:paraId="0C149603" w14:textId="77777777" w:rsidR="0006501A" w:rsidRDefault="0006501A" w:rsidP="003503CD">
            <w:pPr>
              <w:jc w:val="both"/>
            </w:pPr>
          </w:p>
          <w:p w14:paraId="0CCBAC49" w14:textId="77777777" w:rsidR="006F6646" w:rsidRDefault="006F6646" w:rsidP="003503CD">
            <w:pPr>
              <w:jc w:val="both"/>
            </w:pPr>
          </w:p>
        </w:tc>
      </w:tr>
      <w:tr w:rsidR="00FD5802" w14:paraId="71EFFF50" w14:textId="77777777" w:rsidTr="003503CD">
        <w:trPr>
          <w:gridAfter w:val="1"/>
          <w:wAfter w:w="4680" w:type="dxa"/>
        </w:trPr>
        <w:tc>
          <w:tcPr>
            <w:tcW w:w="9784" w:type="dxa"/>
            <w:gridSpan w:val="4"/>
            <w:hideMark/>
          </w:tcPr>
          <w:p w14:paraId="35BB6A76" w14:textId="77777777" w:rsidR="00FD5802" w:rsidRDefault="00FD5802" w:rsidP="003503CD">
            <w:pPr>
              <w:pStyle w:val="Odstavecseseznamem"/>
              <w:numPr>
                <w:ilvl w:val="0"/>
                <w:numId w:val="18"/>
              </w:numPr>
              <w:ind w:left="0" w:firstLine="0"/>
            </w:pPr>
            <w:r>
              <w:rPr>
                <w:b/>
              </w:rPr>
              <w:t>DALŠÍ ZÁVAZKY STRAN</w:t>
            </w:r>
          </w:p>
        </w:tc>
      </w:tr>
      <w:tr w:rsidR="00FD5802" w14:paraId="0F70B6C2" w14:textId="77777777" w:rsidTr="003503CD">
        <w:trPr>
          <w:gridAfter w:val="1"/>
          <w:wAfter w:w="4680" w:type="dxa"/>
        </w:trPr>
        <w:tc>
          <w:tcPr>
            <w:tcW w:w="9784" w:type="dxa"/>
            <w:gridSpan w:val="4"/>
          </w:tcPr>
          <w:p w14:paraId="1F22A716" w14:textId="77777777" w:rsidR="00FD5802" w:rsidRPr="00BC30D2" w:rsidRDefault="00FD5802" w:rsidP="003503CD">
            <w:pPr>
              <w:rPr>
                <w:highlight w:val="yellow"/>
              </w:rPr>
            </w:pPr>
          </w:p>
        </w:tc>
      </w:tr>
      <w:tr w:rsidR="00FD5802" w14:paraId="4544977F" w14:textId="77777777" w:rsidTr="003503CD">
        <w:trPr>
          <w:gridAfter w:val="1"/>
          <w:wAfter w:w="4680" w:type="dxa"/>
        </w:trPr>
        <w:tc>
          <w:tcPr>
            <w:tcW w:w="9784" w:type="dxa"/>
            <w:gridSpan w:val="4"/>
          </w:tcPr>
          <w:p w14:paraId="721FFA0E" w14:textId="77777777" w:rsidR="0006501A" w:rsidRDefault="00FD5802" w:rsidP="00A24868">
            <w:pPr>
              <w:pStyle w:val="Odstavecseseznamem"/>
              <w:numPr>
                <w:ilvl w:val="1"/>
                <w:numId w:val="18"/>
              </w:numPr>
              <w:ind w:left="743" w:hanging="743"/>
              <w:jc w:val="both"/>
            </w:pPr>
            <w:r w:rsidRPr="00516F4B">
              <w:t xml:space="preserve">Smluvní strany se </w:t>
            </w:r>
            <w:r>
              <w:t xml:space="preserve">dohodly, že </w:t>
            </w:r>
            <w:r w:rsidR="0022214C">
              <w:t>Postupitel nebude zasílat dlužníkům postupovaných Pohledávek oznámení o postoupení dotčených Pohledávek a že postoupení Pohledávek prokáže dlužníkům Postupník touto Smlouvou, resp. její kopií</w:t>
            </w:r>
            <w:r w:rsidRPr="00516F4B">
              <w:t>.</w:t>
            </w:r>
          </w:p>
          <w:p w14:paraId="4FC8D329" w14:textId="77777777" w:rsidR="00EE429A" w:rsidRDefault="00EE429A" w:rsidP="00A24868">
            <w:pPr>
              <w:pStyle w:val="Odstavecseseznamem"/>
              <w:ind w:left="743"/>
              <w:jc w:val="both"/>
            </w:pPr>
          </w:p>
          <w:p w14:paraId="6659B145" w14:textId="60474C5B" w:rsidR="00EE429A" w:rsidRDefault="00EE429A" w:rsidP="00A24868">
            <w:pPr>
              <w:pStyle w:val="Odstavecseseznamem"/>
              <w:numPr>
                <w:ilvl w:val="1"/>
                <w:numId w:val="18"/>
              </w:numPr>
              <w:ind w:left="743" w:hanging="743"/>
              <w:jc w:val="both"/>
            </w:pPr>
            <w:r>
              <w:t xml:space="preserve">Smluvní strany se dohodly, že veškeré náklady spojené s vyžádáním dokumentů, nahlédnutím do dokumentů, pořizováním výpisů, opisů a kopií dokumentů souvisejících s Pohledávkami, </w:t>
            </w:r>
            <w:r w:rsidR="00D47966">
              <w:t xml:space="preserve">jakož veškeré náklady spojené s vyžádáním dokumentů uložených u společnosti </w:t>
            </w:r>
            <w:r w:rsidR="00945055" w:rsidRPr="00945055">
              <w:t>BOLEK consulting s.r.o.</w:t>
            </w:r>
            <w:r w:rsidR="008146FF">
              <w:t xml:space="preserve">, IČ: </w:t>
            </w:r>
            <w:r w:rsidR="00945055" w:rsidRPr="00945055">
              <w:t>259</w:t>
            </w:r>
            <w:r w:rsidR="00945055">
              <w:t xml:space="preserve"> </w:t>
            </w:r>
            <w:r w:rsidR="00945055" w:rsidRPr="00945055">
              <w:t>65</w:t>
            </w:r>
            <w:r w:rsidR="00945055">
              <w:t xml:space="preserve"> </w:t>
            </w:r>
            <w:r w:rsidR="00945055" w:rsidRPr="00945055">
              <w:t>310</w:t>
            </w:r>
            <w:r w:rsidR="008146FF">
              <w:t xml:space="preserve">, se sídlem </w:t>
            </w:r>
            <w:r w:rsidR="00945055" w:rsidRPr="00945055">
              <w:t>U Pošty 122, 533 61 Choltice</w:t>
            </w:r>
            <w:r w:rsidR="00945055">
              <w:t>,</w:t>
            </w:r>
            <w:r w:rsidR="008146FF">
              <w:t xml:space="preserve"> </w:t>
            </w:r>
            <w:r w:rsidR="00D47966">
              <w:t>na základě smlouvy o setřídění a skladování písemností</w:t>
            </w:r>
            <w:r w:rsidR="003434AF">
              <w:t xml:space="preserve"> ze dne 29. 9. 2018</w:t>
            </w:r>
            <w:r w:rsidR="008146FF">
              <w:t xml:space="preserve"> (dále jen „</w:t>
            </w:r>
            <w:r w:rsidR="008146FF" w:rsidRPr="00A24868">
              <w:rPr>
                <w:b/>
              </w:rPr>
              <w:t>archivované dokumenty</w:t>
            </w:r>
            <w:r w:rsidR="008146FF">
              <w:t>“)</w:t>
            </w:r>
            <w:r w:rsidR="00D47966">
              <w:t>, předáním archivovaných dokumentů</w:t>
            </w:r>
            <w:r w:rsidR="008146FF">
              <w:t>, nahlédnutím do archivovaných dokumentů</w:t>
            </w:r>
            <w:r w:rsidR="004F3F1A">
              <w:t xml:space="preserve"> či jiný</w:t>
            </w:r>
            <w:r w:rsidR="00AB608B">
              <w:t>m nakládáním s archivovanými dokumenty</w:t>
            </w:r>
            <w:r w:rsidR="004F3F1A">
              <w:t xml:space="preserve">, pokud budou tyto úkony </w:t>
            </w:r>
            <w:r w:rsidR="00AB608B">
              <w:t xml:space="preserve">činěny </w:t>
            </w:r>
            <w:r w:rsidR="004F3F1A">
              <w:t>v souvislosti s postoupením Pohledávek na základě této smlouvy či výběrovým řízením vyhlášeným na odkup Pohledávek, hradí Postupník.</w:t>
            </w:r>
          </w:p>
          <w:p w14:paraId="19F29B0E" w14:textId="77777777" w:rsidR="003503CD" w:rsidRDefault="003503CD" w:rsidP="00A24868">
            <w:pPr>
              <w:numPr>
                <w:ilvl w:val="1"/>
                <w:numId w:val="0"/>
              </w:numPr>
              <w:tabs>
                <w:tab w:val="num" w:pos="601"/>
              </w:tabs>
              <w:autoSpaceDE w:val="0"/>
              <w:autoSpaceDN w:val="0"/>
              <w:jc w:val="both"/>
            </w:pPr>
          </w:p>
          <w:p w14:paraId="0B332CA6" w14:textId="77777777" w:rsidR="006F6646" w:rsidRPr="003503CD" w:rsidRDefault="006F6646" w:rsidP="003503CD">
            <w:pPr>
              <w:numPr>
                <w:ilvl w:val="1"/>
                <w:numId w:val="0"/>
              </w:numPr>
              <w:tabs>
                <w:tab w:val="num" w:pos="601"/>
              </w:tabs>
              <w:autoSpaceDE w:val="0"/>
              <w:autoSpaceDN w:val="0"/>
              <w:ind w:left="709"/>
              <w:jc w:val="both"/>
            </w:pPr>
          </w:p>
        </w:tc>
      </w:tr>
      <w:tr w:rsidR="00FD5802" w14:paraId="635CB3A4" w14:textId="77777777" w:rsidTr="003503CD">
        <w:trPr>
          <w:gridAfter w:val="1"/>
          <w:wAfter w:w="4680" w:type="dxa"/>
        </w:trPr>
        <w:tc>
          <w:tcPr>
            <w:tcW w:w="9784" w:type="dxa"/>
            <w:gridSpan w:val="4"/>
            <w:hideMark/>
          </w:tcPr>
          <w:p w14:paraId="7374D001" w14:textId="77777777" w:rsidR="00FD5802" w:rsidRDefault="00FD5802" w:rsidP="003503CD">
            <w:pPr>
              <w:pStyle w:val="Odstavecseseznamem"/>
              <w:numPr>
                <w:ilvl w:val="0"/>
                <w:numId w:val="18"/>
              </w:numPr>
              <w:ind w:left="0" w:firstLine="0"/>
            </w:pPr>
            <w:r>
              <w:rPr>
                <w:b/>
              </w:rPr>
              <w:t>ODDĚLITELNOST</w:t>
            </w:r>
          </w:p>
        </w:tc>
      </w:tr>
      <w:tr w:rsidR="00FD5802" w14:paraId="0ADDCFFD" w14:textId="77777777" w:rsidTr="003503CD">
        <w:trPr>
          <w:gridAfter w:val="1"/>
          <w:wAfter w:w="4680" w:type="dxa"/>
        </w:trPr>
        <w:tc>
          <w:tcPr>
            <w:tcW w:w="9784" w:type="dxa"/>
            <w:gridSpan w:val="4"/>
          </w:tcPr>
          <w:p w14:paraId="76648F63" w14:textId="77777777" w:rsidR="00FD5802" w:rsidRDefault="00FD5802" w:rsidP="003503CD"/>
        </w:tc>
      </w:tr>
      <w:tr w:rsidR="00FD5802" w14:paraId="3C9EA26E" w14:textId="77777777" w:rsidTr="003503CD">
        <w:trPr>
          <w:gridAfter w:val="1"/>
          <w:wAfter w:w="4680" w:type="dxa"/>
        </w:trPr>
        <w:tc>
          <w:tcPr>
            <w:tcW w:w="9784" w:type="dxa"/>
            <w:gridSpan w:val="4"/>
            <w:hideMark/>
          </w:tcPr>
          <w:p w14:paraId="7A80DCAC" w14:textId="77777777" w:rsidR="00FD5802" w:rsidRDefault="00FD5802" w:rsidP="00015241">
            <w:pPr>
              <w:ind w:left="709"/>
              <w:jc w:val="both"/>
            </w:pPr>
            <w:r>
              <w:t>V případě, že některé ustanovení této Smlouvy je nebo se stane neplatným či neúčinným, zavazují se Strany bez zbytečného odkladu nahradit takové ustanovení novým ujednáním, které bude mít stejné nebo obdobné ekonomické účinky. Pokud k dohodě Stran o novém ujednání nedojde, řídí se úprava práv a povinností Stran příslušnými ustanoveními právních předpisů.</w:t>
            </w:r>
          </w:p>
        </w:tc>
      </w:tr>
      <w:tr w:rsidR="00FD5802" w14:paraId="6000C687" w14:textId="77777777" w:rsidTr="003503CD">
        <w:trPr>
          <w:gridAfter w:val="1"/>
          <w:wAfter w:w="4680" w:type="dxa"/>
        </w:trPr>
        <w:tc>
          <w:tcPr>
            <w:tcW w:w="9784" w:type="dxa"/>
            <w:gridSpan w:val="4"/>
          </w:tcPr>
          <w:p w14:paraId="2CCA17D3" w14:textId="77777777" w:rsidR="006F6646" w:rsidRDefault="006F6646" w:rsidP="003503CD"/>
        </w:tc>
      </w:tr>
      <w:tr w:rsidR="00FD5802" w14:paraId="0E0B11B9" w14:textId="77777777" w:rsidTr="003503CD">
        <w:trPr>
          <w:gridAfter w:val="1"/>
          <w:wAfter w:w="4680" w:type="dxa"/>
        </w:trPr>
        <w:tc>
          <w:tcPr>
            <w:tcW w:w="9784" w:type="dxa"/>
            <w:gridSpan w:val="4"/>
            <w:hideMark/>
          </w:tcPr>
          <w:p w14:paraId="18CD10D2" w14:textId="77777777" w:rsidR="00FD5802" w:rsidRDefault="00FD5802" w:rsidP="003503CD">
            <w:pPr>
              <w:pStyle w:val="Odstavecseseznamem"/>
              <w:numPr>
                <w:ilvl w:val="0"/>
                <w:numId w:val="18"/>
              </w:numPr>
              <w:ind w:left="0" w:firstLine="0"/>
            </w:pPr>
            <w:r>
              <w:rPr>
                <w:b/>
              </w:rPr>
              <w:t>ÚČINNOST SMLOUVY</w:t>
            </w:r>
          </w:p>
        </w:tc>
      </w:tr>
      <w:tr w:rsidR="00FD5802" w14:paraId="5A271FBA" w14:textId="77777777" w:rsidTr="003503CD">
        <w:trPr>
          <w:gridAfter w:val="1"/>
          <w:wAfter w:w="4680" w:type="dxa"/>
        </w:trPr>
        <w:tc>
          <w:tcPr>
            <w:tcW w:w="9784" w:type="dxa"/>
            <w:gridSpan w:val="4"/>
          </w:tcPr>
          <w:p w14:paraId="59B399FB" w14:textId="77777777" w:rsidR="00FD5802" w:rsidRDefault="00FD5802" w:rsidP="003503CD">
            <w:pPr>
              <w:pStyle w:val="Odstavecseseznamem"/>
              <w:ind w:left="0"/>
              <w:rPr>
                <w:b/>
              </w:rPr>
            </w:pPr>
          </w:p>
        </w:tc>
      </w:tr>
      <w:tr w:rsidR="00FD5802" w14:paraId="532E34D4" w14:textId="77777777" w:rsidTr="003503CD">
        <w:trPr>
          <w:gridAfter w:val="1"/>
          <w:wAfter w:w="4680" w:type="dxa"/>
        </w:trPr>
        <w:tc>
          <w:tcPr>
            <w:tcW w:w="9784" w:type="dxa"/>
            <w:gridSpan w:val="4"/>
            <w:hideMark/>
          </w:tcPr>
          <w:p w14:paraId="29F911D7" w14:textId="50F3E53C" w:rsidR="00FD5802" w:rsidRDefault="00FD5802" w:rsidP="003434AF">
            <w:pPr>
              <w:pStyle w:val="Odstavecseseznamem"/>
              <w:ind w:left="709"/>
              <w:jc w:val="both"/>
            </w:pPr>
            <w:r>
              <w:t xml:space="preserve">Tato Smlouva nabývá účinnosti dnem jejího podpisu. </w:t>
            </w:r>
          </w:p>
        </w:tc>
      </w:tr>
      <w:tr w:rsidR="00FD5802" w14:paraId="13793AF5" w14:textId="77777777" w:rsidTr="003503CD">
        <w:trPr>
          <w:gridAfter w:val="1"/>
          <w:wAfter w:w="4680" w:type="dxa"/>
        </w:trPr>
        <w:tc>
          <w:tcPr>
            <w:tcW w:w="9784" w:type="dxa"/>
            <w:gridSpan w:val="4"/>
          </w:tcPr>
          <w:p w14:paraId="2EAD8D0C" w14:textId="77777777" w:rsidR="00FD5802" w:rsidRDefault="00FD5802" w:rsidP="003503CD">
            <w:pPr>
              <w:pStyle w:val="Odstavecseseznamem"/>
              <w:ind w:left="0"/>
            </w:pPr>
          </w:p>
          <w:p w14:paraId="5308CBA4" w14:textId="77777777" w:rsidR="005E44BC" w:rsidRDefault="005E44BC" w:rsidP="003503CD">
            <w:pPr>
              <w:pStyle w:val="Odstavecseseznamem"/>
              <w:ind w:left="0"/>
            </w:pPr>
          </w:p>
        </w:tc>
      </w:tr>
      <w:tr w:rsidR="00FD5802" w14:paraId="61F4AAAC" w14:textId="77777777" w:rsidTr="003503CD">
        <w:trPr>
          <w:gridAfter w:val="1"/>
          <w:wAfter w:w="4680" w:type="dxa"/>
        </w:trPr>
        <w:tc>
          <w:tcPr>
            <w:tcW w:w="9784" w:type="dxa"/>
            <w:gridSpan w:val="4"/>
            <w:hideMark/>
          </w:tcPr>
          <w:p w14:paraId="2CD77D75" w14:textId="77777777" w:rsidR="00FD5802" w:rsidRDefault="00FD5802" w:rsidP="003503CD">
            <w:pPr>
              <w:pStyle w:val="Odstavecseseznamem"/>
              <w:numPr>
                <w:ilvl w:val="0"/>
                <w:numId w:val="18"/>
              </w:numPr>
              <w:ind w:left="0" w:firstLine="0"/>
            </w:pPr>
            <w:r>
              <w:rPr>
                <w:b/>
              </w:rPr>
              <w:t>ZÁVĚREČNÁ USTANOVENÍ</w:t>
            </w:r>
          </w:p>
        </w:tc>
      </w:tr>
      <w:tr w:rsidR="00FD5802" w14:paraId="17E3D4A4" w14:textId="77777777" w:rsidTr="003503CD">
        <w:trPr>
          <w:gridAfter w:val="1"/>
          <w:wAfter w:w="4680" w:type="dxa"/>
        </w:trPr>
        <w:tc>
          <w:tcPr>
            <w:tcW w:w="9784" w:type="dxa"/>
            <w:gridSpan w:val="4"/>
          </w:tcPr>
          <w:p w14:paraId="02447908" w14:textId="77777777" w:rsidR="00FD5802" w:rsidRDefault="00FD5802" w:rsidP="003503CD">
            <w:pPr>
              <w:pStyle w:val="Odstavecseseznamem"/>
              <w:ind w:left="0"/>
            </w:pPr>
          </w:p>
        </w:tc>
      </w:tr>
      <w:tr w:rsidR="00FD5802" w14:paraId="15695A91" w14:textId="77777777" w:rsidTr="003503CD">
        <w:trPr>
          <w:gridAfter w:val="1"/>
          <w:wAfter w:w="4680" w:type="dxa"/>
        </w:trPr>
        <w:tc>
          <w:tcPr>
            <w:tcW w:w="9784" w:type="dxa"/>
            <w:gridSpan w:val="4"/>
          </w:tcPr>
          <w:p w14:paraId="1A615BEB" w14:textId="77777777" w:rsidR="00FD5802" w:rsidRDefault="00FD5802" w:rsidP="003503CD">
            <w:pPr>
              <w:pStyle w:val="Odstavecseseznamem"/>
              <w:numPr>
                <w:ilvl w:val="1"/>
                <w:numId w:val="18"/>
              </w:numPr>
              <w:ind w:left="709" w:hanging="709"/>
              <w:jc w:val="both"/>
            </w:pPr>
            <w:r>
              <w:t>Strany se dohodly, že tato Smlouva se řídí českým právním řádem.</w:t>
            </w:r>
          </w:p>
          <w:p w14:paraId="241003AA" w14:textId="77777777" w:rsidR="00FD5802" w:rsidRDefault="00FD5802" w:rsidP="003503CD">
            <w:pPr>
              <w:pStyle w:val="Odstavecseseznamem"/>
              <w:ind w:left="0"/>
            </w:pPr>
          </w:p>
        </w:tc>
      </w:tr>
      <w:tr w:rsidR="00FD5802" w14:paraId="62D3CD32" w14:textId="77777777" w:rsidTr="003503CD">
        <w:trPr>
          <w:gridAfter w:val="1"/>
          <w:wAfter w:w="4680" w:type="dxa"/>
        </w:trPr>
        <w:tc>
          <w:tcPr>
            <w:tcW w:w="9784" w:type="dxa"/>
            <w:gridSpan w:val="4"/>
          </w:tcPr>
          <w:p w14:paraId="05C41CEF" w14:textId="77777777" w:rsidR="00FD5802" w:rsidRDefault="00FD5802" w:rsidP="003503CD">
            <w:pPr>
              <w:pStyle w:val="Odstavecseseznamem"/>
              <w:numPr>
                <w:ilvl w:val="1"/>
                <w:numId w:val="18"/>
              </w:numPr>
              <w:ind w:left="709" w:hanging="709"/>
              <w:jc w:val="both"/>
            </w:pPr>
            <w:r>
              <w:t>Veškeré změny a dodatky k této Smlouvě musí být učiněny po dohodě Stran a písemnou formou.</w:t>
            </w:r>
          </w:p>
          <w:p w14:paraId="4F96AF66" w14:textId="77777777" w:rsidR="00FD5802" w:rsidRDefault="00FD5802" w:rsidP="003503CD">
            <w:pPr>
              <w:pStyle w:val="Odstavecseseznamem"/>
              <w:ind w:left="0"/>
            </w:pPr>
          </w:p>
        </w:tc>
      </w:tr>
      <w:tr w:rsidR="00FD5802" w14:paraId="53DF2022" w14:textId="77777777" w:rsidTr="003503CD">
        <w:trPr>
          <w:gridAfter w:val="1"/>
          <w:wAfter w:w="4680" w:type="dxa"/>
        </w:trPr>
        <w:tc>
          <w:tcPr>
            <w:tcW w:w="9784" w:type="dxa"/>
            <w:gridSpan w:val="4"/>
          </w:tcPr>
          <w:p w14:paraId="7273DBA4" w14:textId="77777777" w:rsidR="00FD5802" w:rsidRDefault="00FD5802" w:rsidP="003503CD">
            <w:pPr>
              <w:pStyle w:val="Odstavecseseznamem"/>
              <w:numPr>
                <w:ilvl w:val="1"/>
                <w:numId w:val="18"/>
              </w:numPr>
              <w:ind w:left="709" w:hanging="709"/>
              <w:jc w:val="both"/>
            </w:pPr>
            <w:r>
              <w:t>Tato Smlouva byla vyhotovena v českém jazyce ve dvou (2) stejnopisech, přičemž každá Strana obdrží po jednom (1) vyhotovení.</w:t>
            </w:r>
          </w:p>
          <w:p w14:paraId="61BE12AB" w14:textId="77777777" w:rsidR="00FD5802" w:rsidRDefault="00FD5802" w:rsidP="003503CD">
            <w:pPr>
              <w:pStyle w:val="Odstavecseseznamem"/>
              <w:ind w:left="709"/>
              <w:jc w:val="both"/>
            </w:pPr>
          </w:p>
        </w:tc>
      </w:tr>
      <w:tr w:rsidR="00FD5802" w14:paraId="19FAD747" w14:textId="77777777" w:rsidTr="003503CD">
        <w:trPr>
          <w:gridAfter w:val="1"/>
          <w:wAfter w:w="4680" w:type="dxa"/>
        </w:trPr>
        <w:tc>
          <w:tcPr>
            <w:tcW w:w="9784" w:type="dxa"/>
            <w:gridSpan w:val="4"/>
          </w:tcPr>
          <w:p w14:paraId="31E0956A" w14:textId="77777777" w:rsidR="00FD5802" w:rsidRDefault="00FD5802" w:rsidP="003503CD">
            <w:pPr>
              <w:pStyle w:val="Odstavecseseznamem"/>
              <w:numPr>
                <w:ilvl w:val="1"/>
                <w:numId w:val="18"/>
              </w:numPr>
              <w:ind w:left="709" w:hanging="709"/>
              <w:jc w:val="both"/>
            </w:pPr>
            <w:r>
              <w:t>Strany prohlašují, že Smlouva byla sepsána dle jejich pravé a svobodné vůle, prosté omylu, a na důkaz toho ji stvrzují svými podpisy.</w:t>
            </w:r>
          </w:p>
          <w:p w14:paraId="0FD0CDEA" w14:textId="77777777" w:rsidR="00FD5802" w:rsidRDefault="00FD5802" w:rsidP="003503CD">
            <w:pPr>
              <w:pStyle w:val="Odstavecseseznamem"/>
              <w:ind w:left="0"/>
            </w:pPr>
          </w:p>
          <w:p w14:paraId="58784BA5" w14:textId="77777777" w:rsidR="00504180" w:rsidRDefault="00504180" w:rsidP="003503CD">
            <w:pPr>
              <w:pStyle w:val="Odstavecseseznamem"/>
              <w:ind w:left="0"/>
            </w:pPr>
          </w:p>
        </w:tc>
      </w:tr>
      <w:tr w:rsidR="00FD5802" w14:paraId="716B64AF" w14:textId="77777777" w:rsidTr="003503CD">
        <w:trPr>
          <w:gridAfter w:val="1"/>
          <w:wAfter w:w="4680" w:type="dxa"/>
        </w:trPr>
        <w:tc>
          <w:tcPr>
            <w:tcW w:w="9784" w:type="dxa"/>
            <w:gridSpan w:val="4"/>
            <w:hideMark/>
          </w:tcPr>
          <w:p w14:paraId="47218C92" w14:textId="77777777" w:rsidR="00E236C0" w:rsidRDefault="002C2697" w:rsidP="00504180">
            <w:pPr>
              <w:pStyle w:val="Odstavecseseznamem"/>
              <w:ind w:left="0"/>
              <w:rPr>
                <w:i/>
              </w:rPr>
            </w:pPr>
            <w:r>
              <w:rPr>
                <w:i/>
              </w:rPr>
              <w:t>Příloha č. 1: Seznam pohledávek Souboru 1</w:t>
            </w:r>
          </w:p>
          <w:p w14:paraId="6D1A8558" w14:textId="77777777" w:rsidR="002C2697" w:rsidRDefault="002C2697" w:rsidP="003503CD">
            <w:pPr>
              <w:pStyle w:val="Odstavecseseznamem"/>
              <w:ind w:left="0"/>
              <w:rPr>
                <w:i/>
              </w:rPr>
            </w:pPr>
            <w:r>
              <w:rPr>
                <w:i/>
              </w:rPr>
              <w:t>Příloha č. 2: Seznam pohledávek Souboru 2</w:t>
            </w:r>
          </w:p>
          <w:p w14:paraId="2D7A65AD" w14:textId="77777777" w:rsidR="002C2697" w:rsidRDefault="002C2697" w:rsidP="003503CD">
            <w:pPr>
              <w:pStyle w:val="Odstavecseseznamem"/>
              <w:ind w:left="0"/>
              <w:rPr>
                <w:i/>
              </w:rPr>
            </w:pPr>
          </w:p>
          <w:p w14:paraId="4B9B561E" w14:textId="77777777" w:rsidR="002C2697" w:rsidRDefault="002C2697" w:rsidP="003503CD">
            <w:pPr>
              <w:pStyle w:val="Odstavecseseznamem"/>
              <w:ind w:left="0"/>
              <w:rPr>
                <w:i/>
              </w:rPr>
            </w:pPr>
          </w:p>
          <w:p w14:paraId="2143A68D" w14:textId="77777777" w:rsidR="00E236C0" w:rsidRDefault="00E236C0" w:rsidP="003503CD">
            <w:pPr>
              <w:pStyle w:val="Odstavecseseznamem"/>
              <w:ind w:left="0"/>
            </w:pPr>
          </w:p>
          <w:p w14:paraId="3B59270B" w14:textId="77777777" w:rsidR="00FD5802" w:rsidRDefault="00FD5802" w:rsidP="003503CD">
            <w:pPr>
              <w:pStyle w:val="Odstavecseseznamem"/>
              <w:ind w:left="0"/>
            </w:pPr>
            <w:r>
              <w:t xml:space="preserve">V _________ dne _______________                   </w:t>
            </w:r>
            <w:r w:rsidRPr="00FD5802">
              <w:t>V _________ dne</w:t>
            </w:r>
            <w:r>
              <w:t xml:space="preserve"> _______________</w:t>
            </w:r>
          </w:p>
          <w:p w14:paraId="663BB732" w14:textId="77777777" w:rsidR="00FD5802" w:rsidRDefault="00FD5802" w:rsidP="003503CD">
            <w:pPr>
              <w:pStyle w:val="Odstavecseseznamem"/>
              <w:ind w:left="0"/>
            </w:pPr>
          </w:p>
          <w:p w14:paraId="1BEFF014" w14:textId="77777777" w:rsidR="00FD5802" w:rsidRDefault="00FD5802" w:rsidP="003503CD">
            <w:pPr>
              <w:pStyle w:val="Odstavecseseznamem"/>
              <w:ind w:left="0"/>
            </w:pPr>
          </w:p>
          <w:p w14:paraId="5ED9ECDB" w14:textId="77777777" w:rsidR="00FD5802" w:rsidRDefault="00FD5802" w:rsidP="003503CD">
            <w:pPr>
              <w:pStyle w:val="Odstavecseseznamem"/>
              <w:ind w:left="0"/>
            </w:pPr>
          </w:p>
          <w:p w14:paraId="6960733C" w14:textId="77777777" w:rsidR="00FD5802" w:rsidRDefault="00FD5802" w:rsidP="003503CD">
            <w:pPr>
              <w:pStyle w:val="Odstavecseseznamem"/>
              <w:ind w:left="0"/>
            </w:pPr>
          </w:p>
          <w:p w14:paraId="3431B14B" w14:textId="77777777" w:rsidR="00FD5802" w:rsidRDefault="00FD5802" w:rsidP="003503CD">
            <w:pPr>
              <w:pStyle w:val="Odstavecseseznamem"/>
              <w:ind w:left="0"/>
            </w:pPr>
            <w:r>
              <w:t>______________________                                     _________________________</w:t>
            </w:r>
          </w:p>
        </w:tc>
      </w:tr>
      <w:tr w:rsidR="00FD5802" w14:paraId="1401A165" w14:textId="77777777" w:rsidTr="003503CD">
        <w:tc>
          <w:tcPr>
            <w:tcW w:w="9784" w:type="dxa"/>
            <w:gridSpan w:val="4"/>
          </w:tcPr>
          <w:p w14:paraId="400270A1" w14:textId="77777777" w:rsidR="00FD5802" w:rsidRDefault="00FD5802" w:rsidP="003503CD">
            <w:pPr>
              <w:pStyle w:val="Odstavecseseznamem"/>
              <w:ind w:left="0"/>
            </w:pPr>
            <w:r>
              <w:t>Postupitel                                                                   Postupník</w:t>
            </w:r>
          </w:p>
        </w:tc>
        <w:tc>
          <w:tcPr>
            <w:tcW w:w="4680" w:type="dxa"/>
          </w:tcPr>
          <w:p w14:paraId="38A7AF6C" w14:textId="77777777" w:rsidR="00FD5802" w:rsidRDefault="00FD5802" w:rsidP="003503CD">
            <w:pPr>
              <w:pStyle w:val="Odstavecseseznamem"/>
              <w:ind w:left="0"/>
              <w:rPr>
                <w:b/>
              </w:rPr>
            </w:pPr>
          </w:p>
        </w:tc>
      </w:tr>
      <w:tr w:rsidR="00FD5802" w14:paraId="6DF75E5D" w14:textId="77777777" w:rsidTr="003503CD">
        <w:trPr>
          <w:gridAfter w:val="1"/>
          <w:wAfter w:w="4680" w:type="dxa"/>
        </w:trPr>
        <w:tc>
          <w:tcPr>
            <w:tcW w:w="5104" w:type="dxa"/>
            <w:gridSpan w:val="2"/>
            <w:hideMark/>
          </w:tcPr>
          <w:p w14:paraId="1D996D65" w14:textId="77777777" w:rsidR="00FD5802" w:rsidRDefault="00FD5802" w:rsidP="003503CD">
            <w:pPr>
              <w:pStyle w:val="Odstavecseseznamem"/>
              <w:ind w:left="0"/>
              <w:rPr>
                <w:b/>
              </w:rPr>
            </w:pPr>
          </w:p>
        </w:tc>
        <w:tc>
          <w:tcPr>
            <w:tcW w:w="4680" w:type="dxa"/>
            <w:gridSpan w:val="2"/>
            <w:hideMark/>
          </w:tcPr>
          <w:p w14:paraId="22067D08" w14:textId="77777777" w:rsidR="00FD5802" w:rsidRDefault="00FD5802" w:rsidP="003503CD">
            <w:pPr>
              <w:pStyle w:val="Odstavecseseznamem"/>
              <w:ind w:left="0"/>
            </w:pPr>
          </w:p>
        </w:tc>
      </w:tr>
    </w:tbl>
    <w:p w14:paraId="45EC1A69" w14:textId="77777777" w:rsidR="00D50224" w:rsidRDefault="00D50224" w:rsidP="003503CD"/>
    <w:sectPr w:rsidR="00D50224" w:rsidSect="00315578">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5506D" w16cid:durableId="1FC630F8"/>
  <w16cid:commentId w16cid:paraId="64DB3672" w16cid:durableId="1FC630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27A6" w14:textId="77777777" w:rsidR="007875C7" w:rsidRDefault="007875C7" w:rsidP="00201DEA">
      <w:pPr>
        <w:spacing w:after="0" w:line="240" w:lineRule="auto"/>
      </w:pPr>
      <w:r>
        <w:separator/>
      </w:r>
    </w:p>
  </w:endnote>
  <w:endnote w:type="continuationSeparator" w:id="0">
    <w:p w14:paraId="0BD87220" w14:textId="77777777" w:rsidR="007875C7" w:rsidRDefault="007875C7" w:rsidP="0020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37854"/>
      <w:docPartObj>
        <w:docPartGallery w:val="Page Numbers (Bottom of Page)"/>
        <w:docPartUnique/>
      </w:docPartObj>
    </w:sdtPr>
    <w:sdtEndPr/>
    <w:sdtContent>
      <w:p w14:paraId="3235E70A" w14:textId="77777777" w:rsidR="007875C7" w:rsidRDefault="00453694">
        <w:pPr>
          <w:pStyle w:val="Zpat"/>
          <w:jc w:val="right"/>
        </w:pPr>
        <w:r>
          <w:fldChar w:fldCharType="begin"/>
        </w:r>
        <w:r>
          <w:instrText>PAGE   \* MERGEFORMAT</w:instrText>
        </w:r>
        <w:r>
          <w:fldChar w:fldCharType="separate"/>
        </w:r>
        <w:r w:rsidR="005F323C">
          <w:rPr>
            <w:noProof/>
          </w:rPr>
          <w:t>4</w:t>
        </w:r>
        <w:r>
          <w:rPr>
            <w:noProof/>
          </w:rPr>
          <w:fldChar w:fldCharType="end"/>
        </w:r>
      </w:p>
    </w:sdtContent>
  </w:sdt>
  <w:p w14:paraId="58ED3077" w14:textId="77777777" w:rsidR="007875C7" w:rsidRDefault="007875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D68EF" w14:textId="77777777" w:rsidR="007875C7" w:rsidRDefault="007875C7" w:rsidP="00201DEA">
      <w:pPr>
        <w:spacing w:after="0" w:line="240" w:lineRule="auto"/>
      </w:pPr>
      <w:r>
        <w:separator/>
      </w:r>
    </w:p>
  </w:footnote>
  <w:footnote w:type="continuationSeparator" w:id="0">
    <w:p w14:paraId="387434DB" w14:textId="77777777" w:rsidR="007875C7" w:rsidRDefault="007875C7" w:rsidP="00201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EBE6A70"/>
    <w:lvl w:ilvl="0">
      <w:start w:val="1"/>
      <w:numFmt w:val="decimal"/>
      <w:pStyle w:val="slovanseznam2"/>
      <w:lvlText w:val="%1."/>
      <w:lvlJc w:val="left"/>
      <w:pPr>
        <w:tabs>
          <w:tab w:val="num" w:pos="643"/>
        </w:tabs>
        <w:ind w:left="643" w:hanging="360"/>
      </w:pPr>
    </w:lvl>
  </w:abstractNum>
  <w:abstractNum w:abstractNumId="1" w15:restartNumberingAfterBreak="0">
    <w:nsid w:val="00000004"/>
    <w:multiLevelType w:val="singleLevel"/>
    <w:tmpl w:val="31AAD5CC"/>
    <w:lvl w:ilvl="0">
      <w:start w:val="1"/>
      <w:numFmt w:val="bullet"/>
      <w:pStyle w:val="odrkyprezentace"/>
      <w:lvlText w:val=""/>
      <w:lvlJc w:val="left"/>
      <w:pPr>
        <w:tabs>
          <w:tab w:val="num" w:pos="720"/>
        </w:tabs>
        <w:ind w:left="720" w:hanging="360"/>
      </w:pPr>
      <w:rPr>
        <w:rFonts w:ascii="Symbol" w:hAnsi="Symbol"/>
      </w:rPr>
    </w:lvl>
  </w:abstractNum>
  <w:abstractNum w:abstractNumId="2" w15:restartNumberingAfterBreak="0">
    <w:nsid w:val="007B1D92"/>
    <w:multiLevelType w:val="hybridMultilevel"/>
    <w:tmpl w:val="230A859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4AA2FC2"/>
    <w:multiLevelType w:val="hybridMultilevel"/>
    <w:tmpl w:val="CFCA305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0DA46F79"/>
    <w:multiLevelType w:val="multilevel"/>
    <w:tmpl w:val="43FA2D78"/>
    <w:lvl w:ilvl="0">
      <w:start w:val="1"/>
      <w:numFmt w:val="decimal"/>
      <w:lvlText w:val="%1."/>
      <w:lvlJc w:val="left"/>
      <w:pPr>
        <w:ind w:left="720" w:hanging="360"/>
      </w:pPr>
      <w:rPr>
        <w:b/>
      </w:r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1675047"/>
    <w:multiLevelType w:val="hybridMultilevel"/>
    <w:tmpl w:val="B442E4AE"/>
    <w:lvl w:ilvl="0" w:tplc="5CE427E8">
      <w:start w:val="1"/>
      <w:numFmt w:val="lowerLetter"/>
      <w:lvlText w:val="(%1)"/>
      <w:lvlJc w:val="left"/>
      <w:pPr>
        <w:ind w:left="1069" w:hanging="360"/>
      </w:pPr>
    </w:lvl>
    <w:lvl w:ilvl="1" w:tplc="69C635BE">
      <w:start w:val="1"/>
      <w:numFmt w:val="decimal"/>
      <w:lvlText w:val="%2."/>
      <w:lvlJc w:val="left"/>
      <w:pPr>
        <w:tabs>
          <w:tab w:val="num" w:pos="1440"/>
        </w:tabs>
        <w:ind w:left="1440" w:hanging="360"/>
      </w:pPr>
    </w:lvl>
    <w:lvl w:ilvl="2" w:tplc="1C2ACBBE">
      <w:start w:val="1"/>
      <w:numFmt w:val="decimal"/>
      <w:lvlText w:val="%3."/>
      <w:lvlJc w:val="left"/>
      <w:pPr>
        <w:tabs>
          <w:tab w:val="num" w:pos="2160"/>
        </w:tabs>
        <w:ind w:left="2160" w:hanging="360"/>
      </w:pPr>
    </w:lvl>
    <w:lvl w:ilvl="3" w:tplc="EA4C1C1C">
      <w:start w:val="1"/>
      <w:numFmt w:val="decimal"/>
      <w:lvlText w:val="%4."/>
      <w:lvlJc w:val="left"/>
      <w:pPr>
        <w:tabs>
          <w:tab w:val="num" w:pos="2880"/>
        </w:tabs>
        <w:ind w:left="2880" w:hanging="360"/>
      </w:pPr>
    </w:lvl>
    <w:lvl w:ilvl="4" w:tplc="C4986E2A">
      <w:start w:val="1"/>
      <w:numFmt w:val="decimal"/>
      <w:lvlText w:val="%5."/>
      <w:lvlJc w:val="left"/>
      <w:pPr>
        <w:tabs>
          <w:tab w:val="num" w:pos="3600"/>
        </w:tabs>
        <w:ind w:left="3600" w:hanging="360"/>
      </w:pPr>
    </w:lvl>
    <w:lvl w:ilvl="5" w:tplc="9AE24A42">
      <w:start w:val="1"/>
      <w:numFmt w:val="decimal"/>
      <w:lvlText w:val="%6."/>
      <w:lvlJc w:val="left"/>
      <w:pPr>
        <w:tabs>
          <w:tab w:val="num" w:pos="4320"/>
        </w:tabs>
        <w:ind w:left="4320" w:hanging="360"/>
      </w:pPr>
    </w:lvl>
    <w:lvl w:ilvl="6" w:tplc="5A865A38">
      <w:start w:val="1"/>
      <w:numFmt w:val="decimal"/>
      <w:lvlText w:val="%7."/>
      <w:lvlJc w:val="left"/>
      <w:pPr>
        <w:tabs>
          <w:tab w:val="num" w:pos="5040"/>
        </w:tabs>
        <w:ind w:left="5040" w:hanging="360"/>
      </w:pPr>
    </w:lvl>
    <w:lvl w:ilvl="7" w:tplc="95985320">
      <w:start w:val="1"/>
      <w:numFmt w:val="decimal"/>
      <w:lvlText w:val="%8."/>
      <w:lvlJc w:val="left"/>
      <w:pPr>
        <w:tabs>
          <w:tab w:val="num" w:pos="5760"/>
        </w:tabs>
        <w:ind w:left="5760" w:hanging="360"/>
      </w:pPr>
    </w:lvl>
    <w:lvl w:ilvl="8" w:tplc="5CF470EC">
      <w:start w:val="1"/>
      <w:numFmt w:val="decimal"/>
      <w:lvlText w:val="%9."/>
      <w:lvlJc w:val="left"/>
      <w:pPr>
        <w:tabs>
          <w:tab w:val="num" w:pos="6480"/>
        </w:tabs>
        <w:ind w:left="6480" w:hanging="360"/>
      </w:pPr>
    </w:lvl>
  </w:abstractNum>
  <w:abstractNum w:abstractNumId="6" w15:restartNumberingAfterBreak="0">
    <w:nsid w:val="13D57F3D"/>
    <w:multiLevelType w:val="multilevel"/>
    <w:tmpl w:val="B99C2E72"/>
    <w:lvl w:ilvl="0">
      <w:start w:val="1"/>
      <w:numFmt w:val="decimal"/>
      <w:lvlText w:val="%1."/>
      <w:lvlJc w:val="left"/>
      <w:pPr>
        <w:ind w:left="720" w:hanging="360"/>
      </w:pPr>
      <w:rPr>
        <w:b/>
      </w:rPr>
    </w:lvl>
    <w:lvl w:ilvl="1">
      <w:start w:val="1"/>
      <w:numFmt w:val="lowerLetter"/>
      <w:lvlText w:val="%2)"/>
      <w:lvlJc w:val="left"/>
      <w:pPr>
        <w:ind w:left="1070" w:hanging="360"/>
      </w:pPr>
      <w:rPr>
        <w:rFonts w:asciiTheme="minorHAnsi" w:eastAsiaTheme="minorHAnsi" w:hAnsiTheme="minorHAnsi" w:cstheme="minorBidi"/>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CD95DBF"/>
    <w:multiLevelType w:val="multilevel"/>
    <w:tmpl w:val="1B609B8A"/>
    <w:lvl w:ilvl="0">
      <w:start w:val="1"/>
      <w:numFmt w:val="decimal"/>
      <w:lvlText w:val="%1."/>
      <w:lvlJc w:val="left"/>
      <w:pPr>
        <w:ind w:left="720" w:hanging="360"/>
      </w:pPr>
      <w:rPr>
        <w:b/>
      </w:rPr>
    </w:lvl>
    <w:lvl w:ilvl="1">
      <w:start w:val="1"/>
      <w:numFmt w:val="lowerLetter"/>
      <w:lvlText w:val="%2)"/>
      <w:lvlJc w:val="left"/>
      <w:pPr>
        <w:ind w:left="1070" w:hanging="360"/>
      </w:pPr>
      <w:rPr>
        <w:rFonts w:asciiTheme="minorHAnsi" w:eastAsiaTheme="minorHAnsi" w:hAnsiTheme="minorHAnsi" w:cstheme="minorBidi"/>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220605B"/>
    <w:multiLevelType w:val="multilevel"/>
    <w:tmpl w:val="0405001D"/>
    <w:styleLink w:val="kacastyl"/>
    <w:lvl w:ilvl="0">
      <w:start w:val="1"/>
      <w:numFmt w:val="decimal"/>
      <w:lvlText w:val="%1)"/>
      <w:lvlJc w:val="left"/>
      <w:pPr>
        <w:ind w:left="360" w:hanging="360"/>
      </w:pPr>
      <w:rPr>
        <w:rFonts w:ascii="Arial Narrow" w:hAnsi="Arial Narrow"/>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B87BF1"/>
    <w:multiLevelType w:val="multilevel"/>
    <w:tmpl w:val="0405001D"/>
    <w:styleLink w:val="DUStyl"/>
    <w:lvl w:ilvl="0">
      <w:start w:val="1"/>
      <w:numFmt w:val="decimal"/>
      <w:lvlText w:val="%1"/>
      <w:lvlJc w:val="left"/>
      <w:pPr>
        <w:ind w:left="360" w:hanging="360"/>
      </w:pPr>
      <w:rPr>
        <w:rFonts w:ascii="Times New Roman" w:hAnsi="Times New Roman" w:hint="default"/>
        <w:b/>
        <w:color w:val="auto"/>
        <w:sz w:val="22"/>
      </w:rPr>
    </w:lvl>
    <w:lvl w:ilvl="1">
      <w:start w:val="1"/>
      <w:numFmt w:val="lowerLetter"/>
      <w:lvlText w:val="%2)"/>
      <w:lvlJc w:val="left"/>
      <w:pPr>
        <w:ind w:left="720" w:hanging="360"/>
      </w:pPr>
      <w:rPr>
        <w:rFonts w:ascii="Arial Narrow" w:hAnsi="Arial Narrow"/>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36857"/>
    <w:multiLevelType w:val="multilevel"/>
    <w:tmpl w:val="0405001F"/>
    <w:name w:val="sezna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E02500"/>
    <w:multiLevelType w:val="hybridMultilevel"/>
    <w:tmpl w:val="6A04A6CC"/>
    <w:lvl w:ilvl="0" w:tplc="70D28D9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47878FA"/>
    <w:multiLevelType w:val="multilevel"/>
    <w:tmpl w:val="C14E6C14"/>
    <w:name w:val="seznam22"/>
    <w:styleLink w:val="Styl1"/>
    <w:lvl w:ilvl="0">
      <w:start w:val="1"/>
      <w:numFmt w:val="upperRoman"/>
      <w:lvlText w:val="Článek %1."/>
      <w:lvlJc w:val="left"/>
      <w:pPr>
        <w:ind w:left="2124"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55607C67"/>
    <w:multiLevelType w:val="multilevel"/>
    <w:tmpl w:val="C700F18A"/>
    <w:lvl w:ilvl="0">
      <w:start w:val="1"/>
      <w:numFmt w:val="decimal"/>
      <w:lvlText w:val="%1)"/>
      <w:lvlJc w:val="left"/>
      <w:pPr>
        <w:ind w:left="360" w:hanging="360"/>
      </w:pPr>
      <w:rPr>
        <w:rFonts w:hint="default"/>
      </w:rPr>
    </w:lvl>
    <w:lvl w:ilvl="1">
      <w:start w:val="1"/>
      <w:numFmt w:val="lowerLetter"/>
      <w:pStyle w:val="DUprvnseznam"/>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BE36670"/>
    <w:multiLevelType w:val="multilevel"/>
    <w:tmpl w:val="45C85FCA"/>
    <w:lvl w:ilvl="0">
      <w:start w:val="1"/>
      <w:numFmt w:val="decimal"/>
      <w:lvlText w:val="%1."/>
      <w:lvlJc w:val="left"/>
      <w:pPr>
        <w:ind w:left="705" w:hanging="705"/>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5E8C5AA8"/>
    <w:multiLevelType w:val="hybridMultilevel"/>
    <w:tmpl w:val="9D30D294"/>
    <w:lvl w:ilvl="0" w:tplc="EE084528">
      <w:start w:val="1"/>
      <w:numFmt w:val="bullet"/>
      <w:pStyle w:val="BPAKodrka2"/>
      <w:lvlText w:val=""/>
      <w:lvlJc w:val="left"/>
      <w:pPr>
        <w:ind w:left="720" w:hanging="360"/>
      </w:pPr>
      <w:rPr>
        <w:rFonts w:ascii="Symbol" w:hAnsi="Symbol" w:hint="default"/>
      </w:rPr>
    </w:lvl>
    <w:lvl w:ilvl="1" w:tplc="615CA422">
      <w:start w:val="1"/>
      <w:numFmt w:val="bullet"/>
      <w:lvlText w:val="o"/>
      <w:lvlJc w:val="left"/>
      <w:pPr>
        <w:ind w:left="1440" w:hanging="360"/>
      </w:pPr>
      <w:rPr>
        <w:rFonts w:ascii="Courier New" w:hAnsi="Courier New" w:cs="Courier New" w:hint="default"/>
      </w:rPr>
    </w:lvl>
    <w:lvl w:ilvl="2" w:tplc="2D3A727C" w:tentative="1">
      <w:start w:val="1"/>
      <w:numFmt w:val="bullet"/>
      <w:lvlText w:val=""/>
      <w:lvlJc w:val="left"/>
      <w:pPr>
        <w:ind w:left="2160" w:hanging="360"/>
      </w:pPr>
      <w:rPr>
        <w:rFonts w:ascii="Wingdings" w:hAnsi="Wingdings" w:hint="default"/>
      </w:rPr>
    </w:lvl>
    <w:lvl w:ilvl="3" w:tplc="80500A66" w:tentative="1">
      <w:start w:val="1"/>
      <w:numFmt w:val="bullet"/>
      <w:lvlText w:val=""/>
      <w:lvlJc w:val="left"/>
      <w:pPr>
        <w:ind w:left="2880" w:hanging="360"/>
      </w:pPr>
      <w:rPr>
        <w:rFonts w:ascii="Symbol" w:hAnsi="Symbol" w:hint="default"/>
      </w:rPr>
    </w:lvl>
    <w:lvl w:ilvl="4" w:tplc="4F26C074" w:tentative="1">
      <w:start w:val="1"/>
      <w:numFmt w:val="bullet"/>
      <w:lvlText w:val="o"/>
      <w:lvlJc w:val="left"/>
      <w:pPr>
        <w:ind w:left="3600" w:hanging="360"/>
      </w:pPr>
      <w:rPr>
        <w:rFonts w:ascii="Courier New" w:hAnsi="Courier New" w:cs="Courier New" w:hint="default"/>
      </w:rPr>
    </w:lvl>
    <w:lvl w:ilvl="5" w:tplc="BE8EE7A0" w:tentative="1">
      <w:start w:val="1"/>
      <w:numFmt w:val="bullet"/>
      <w:lvlText w:val=""/>
      <w:lvlJc w:val="left"/>
      <w:pPr>
        <w:ind w:left="4320" w:hanging="360"/>
      </w:pPr>
      <w:rPr>
        <w:rFonts w:ascii="Wingdings" w:hAnsi="Wingdings" w:hint="default"/>
      </w:rPr>
    </w:lvl>
    <w:lvl w:ilvl="6" w:tplc="66681C34" w:tentative="1">
      <w:start w:val="1"/>
      <w:numFmt w:val="bullet"/>
      <w:lvlText w:val=""/>
      <w:lvlJc w:val="left"/>
      <w:pPr>
        <w:ind w:left="5040" w:hanging="360"/>
      </w:pPr>
      <w:rPr>
        <w:rFonts w:ascii="Symbol" w:hAnsi="Symbol" w:hint="default"/>
      </w:rPr>
    </w:lvl>
    <w:lvl w:ilvl="7" w:tplc="6F9ACE26" w:tentative="1">
      <w:start w:val="1"/>
      <w:numFmt w:val="bullet"/>
      <w:lvlText w:val="o"/>
      <w:lvlJc w:val="left"/>
      <w:pPr>
        <w:ind w:left="5760" w:hanging="360"/>
      </w:pPr>
      <w:rPr>
        <w:rFonts w:ascii="Courier New" w:hAnsi="Courier New" w:cs="Courier New" w:hint="default"/>
      </w:rPr>
    </w:lvl>
    <w:lvl w:ilvl="8" w:tplc="47C6F09A" w:tentative="1">
      <w:start w:val="1"/>
      <w:numFmt w:val="bullet"/>
      <w:lvlText w:val=""/>
      <w:lvlJc w:val="left"/>
      <w:pPr>
        <w:ind w:left="6480" w:hanging="360"/>
      </w:pPr>
      <w:rPr>
        <w:rFonts w:ascii="Wingdings" w:hAnsi="Wingdings" w:hint="default"/>
      </w:rPr>
    </w:lvl>
  </w:abstractNum>
  <w:abstractNum w:abstractNumId="16" w15:restartNumberingAfterBreak="0">
    <w:nsid w:val="643D53C6"/>
    <w:multiLevelType w:val="hybridMultilevel"/>
    <w:tmpl w:val="694ABF86"/>
    <w:lvl w:ilvl="0" w:tplc="8842E73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7" w15:restartNumberingAfterBreak="0">
    <w:nsid w:val="6771225D"/>
    <w:multiLevelType w:val="multilevel"/>
    <w:tmpl w:val="2BDE4C8E"/>
    <w:lvl w:ilvl="0">
      <w:start w:val="1"/>
      <w:numFmt w:val="decimal"/>
      <w:pStyle w:val="DUPodlnek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
  </w:num>
  <w:num w:numId="3">
    <w:abstractNumId w:val="15"/>
  </w:num>
  <w:num w:numId="4">
    <w:abstractNumId w:val="12"/>
  </w:num>
  <w:num w:numId="5">
    <w:abstractNumId w:val="17"/>
  </w:num>
  <w:num w:numId="6">
    <w:abstractNumId w:val="15"/>
  </w:num>
  <w:num w:numId="7">
    <w:abstractNumId w:val="1"/>
  </w:num>
  <w:num w:numId="8">
    <w:abstractNumId w:val="12"/>
  </w:num>
  <w:num w:numId="9">
    <w:abstractNumId w:val="17"/>
  </w:num>
  <w:num w:numId="10">
    <w:abstractNumId w:val="17"/>
  </w:num>
  <w:num w:numId="11">
    <w:abstractNumId w:val="8"/>
  </w:num>
  <w:num w:numId="12">
    <w:abstractNumId w:val="9"/>
  </w:num>
  <w:num w:numId="13">
    <w:abstractNumId w:val="12"/>
  </w:num>
  <w:num w:numId="14">
    <w:abstractNumId w:val="13"/>
  </w:num>
  <w:num w:numId="15">
    <w:abstractNumId w:val="13"/>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6"/>
  </w:num>
  <w:num w:numId="23">
    <w:abstractNumId w:val="10"/>
  </w:num>
  <w:num w:numId="24">
    <w:abstractNumId w:val="3"/>
  </w:num>
  <w:num w:numId="25">
    <w:abstractNumId w:val="16"/>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B1"/>
    <w:rsid w:val="0000274E"/>
    <w:rsid w:val="00010F85"/>
    <w:rsid w:val="00015241"/>
    <w:rsid w:val="00042BE9"/>
    <w:rsid w:val="0005710B"/>
    <w:rsid w:val="0006501A"/>
    <w:rsid w:val="000B45DC"/>
    <w:rsid w:val="001105E5"/>
    <w:rsid w:val="001433F4"/>
    <w:rsid w:val="00144CAC"/>
    <w:rsid w:val="00146967"/>
    <w:rsid w:val="00165710"/>
    <w:rsid w:val="001662C8"/>
    <w:rsid w:val="00176A93"/>
    <w:rsid w:val="001F00AD"/>
    <w:rsid w:val="001F44F3"/>
    <w:rsid w:val="00201DEA"/>
    <w:rsid w:val="0022214C"/>
    <w:rsid w:val="002532C9"/>
    <w:rsid w:val="002958CE"/>
    <w:rsid w:val="002A1D27"/>
    <w:rsid w:val="002C2697"/>
    <w:rsid w:val="002F543A"/>
    <w:rsid w:val="00315578"/>
    <w:rsid w:val="00330B4C"/>
    <w:rsid w:val="003335DF"/>
    <w:rsid w:val="003434AF"/>
    <w:rsid w:val="003503CD"/>
    <w:rsid w:val="00381C43"/>
    <w:rsid w:val="003A6412"/>
    <w:rsid w:val="003E06EE"/>
    <w:rsid w:val="003E0BCF"/>
    <w:rsid w:val="003E0E1A"/>
    <w:rsid w:val="003F02FA"/>
    <w:rsid w:val="003F1AFB"/>
    <w:rsid w:val="004219DF"/>
    <w:rsid w:val="00431EB0"/>
    <w:rsid w:val="00452490"/>
    <w:rsid w:val="00453694"/>
    <w:rsid w:val="00466E6D"/>
    <w:rsid w:val="0048532A"/>
    <w:rsid w:val="004C2021"/>
    <w:rsid w:val="004C52AF"/>
    <w:rsid w:val="004E2744"/>
    <w:rsid w:val="004F3F1A"/>
    <w:rsid w:val="00504180"/>
    <w:rsid w:val="00516F4B"/>
    <w:rsid w:val="00517007"/>
    <w:rsid w:val="00542C47"/>
    <w:rsid w:val="00564AC8"/>
    <w:rsid w:val="00575E53"/>
    <w:rsid w:val="00576AD6"/>
    <w:rsid w:val="005855C3"/>
    <w:rsid w:val="005977C5"/>
    <w:rsid w:val="005B547F"/>
    <w:rsid w:val="005E44BC"/>
    <w:rsid w:val="005F0A36"/>
    <w:rsid w:val="005F323C"/>
    <w:rsid w:val="0060684E"/>
    <w:rsid w:val="006255E5"/>
    <w:rsid w:val="006617E3"/>
    <w:rsid w:val="006A27F1"/>
    <w:rsid w:val="006B3633"/>
    <w:rsid w:val="006F44D0"/>
    <w:rsid w:val="006F6646"/>
    <w:rsid w:val="0072506E"/>
    <w:rsid w:val="00742CB1"/>
    <w:rsid w:val="00750210"/>
    <w:rsid w:val="00764270"/>
    <w:rsid w:val="007875C7"/>
    <w:rsid w:val="00793583"/>
    <w:rsid w:val="007C1255"/>
    <w:rsid w:val="007C6107"/>
    <w:rsid w:val="007E341B"/>
    <w:rsid w:val="007E6D27"/>
    <w:rsid w:val="007E73CF"/>
    <w:rsid w:val="0080342B"/>
    <w:rsid w:val="00805FAC"/>
    <w:rsid w:val="008105C2"/>
    <w:rsid w:val="008146FF"/>
    <w:rsid w:val="008402C3"/>
    <w:rsid w:val="008562BA"/>
    <w:rsid w:val="00856B69"/>
    <w:rsid w:val="00873B34"/>
    <w:rsid w:val="00890C56"/>
    <w:rsid w:val="00891FC2"/>
    <w:rsid w:val="00894177"/>
    <w:rsid w:val="008A1BC9"/>
    <w:rsid w:val="008A2C57"/>
    <w:rsid w:val="008B2BF7"/>
    <w:rsid w:val="008B2E4C"/>
    <w:rsid w:val="00900AC0"/>
    <w:rsid w:val="00904270"/>
    <w:rsid w:val="009261B2"/>
    <w:rsid w:val="00927B2C"/>
    <w:rsid w:val="0093301E"/>
    <w:rsid w:val="00945055"/>
    <w:rsid w:val="00946D6F"/>
    <w:rsid w:val="0095151B"/>
    <w:rsid w:val="009A35AE"/>
    <w:rsid w:val="009A4681"/>
    <w:rsid w:val="009C3A0C"/>
    <w:rsid w:val="009E058B"/>
    <w:rsid w:val="009E614E"/>
    <w:rsid w:val="009F5C36"/>
    <w:rsid w:val="00A00DB8"/>
    <w:rsid w:val="00A05F74"/>
    <w:rsid w:val="00A13BD2"/>
    <w:rsid w:val="00A24868"/>
    <w:rsid w:val="00A27ACA"/>
    <w:rsid w:val="00A313C6"/>
    <w:rsid w:val="00A61BEE"/>
    <w:rsid w:val="00A81D26"/>
    <w:rsid w:val="00A829CE"/>
    <w:rsid w:val="00A86844"/>
    <w:rsid w:val="00A8740B"/>
    <w:rsid w:val="00A879BE"/>
    <w:rsid w:val="00AB608B"/>
    <w:rsid w:val="00AC4FA6"/>
    <w:rsid w:val="00AE73BA"/>
    <w:rsid w:val="00AF5774"/>
    <w:rsid w:val="00B11E74"/>
    <w:rsid w:val="00B418A5"/>
    <w:rsid w:val="00B420FC"/>
    <w:rsid w:val="00B427DD"/>
    <w:rsid w:val="00B65FDB"/>
    <w:rsid w:val="00B760F0"/>
    <w:rsid w:val="00BA1E68"/>
    <w:rsid w:val="00BA2211"/>
    <w:rsid w:val="00BB0D84"/>
    <w:rsid w:val="00BC30D2"/>
    <w:rsid w:val="00BE0346"/>
    <w:rsid w:val="00BF3B4E"/>
    <w:rsid w:val="00C52121"/>
    <w:rsid w:val="00C731ED"/>
    <w:rsid w:val="00C80201"/>
    <w:rsid w:val="00C83785"/>
    <w:rsid w:val="00C8732F"/>
    <w:rsid w:val="00C9495C"/>
    <w:rsid w:val="00CA3E0B"/>
    <w:rsid w:val="00CA48FF"/>
    <w:rsid w:val="00CC60FF"/>
    <w:rsid w:val="00CD77F8"/>
    <w:rsid w:val="00D0111A"/>
    <w:rsid w:val="00D16C2A"/>
    <w:rsid w:val="00D47966"/>
    <w:rsid w:val="00D50224"/>
    <w:rsid w:val="00D61997"/>
    <w:rsid w:val="00D64A75"/>
    <w:rsid w:val="00DA31DE"/>
    <w:rsid w:val="00DE36B1"/>
    <w:rsid w:val="00DE66FD"/>
    <w:rsid w:val="00DF5902"/>
    <w:rsid w:val="00E236C0"/>
    <w:rsid w:val="00E26FDC"/>
    <w:rsid w:val="00E33F00"/>
    <w:rsid w:val="00E4628E"/>
    <w:rsid w:val="00E54D5A"/>
    <w:rsid w:val="00E554F6"/>
    <w:rsid w:val="00E55B9E"/>
    <w:rsid w:val="00E564E3"/>
    <w:rsid w:val="00E76541"/>
    <w:rsid w:val="00E96E21"/>
    <w:rsid w:val="00EB48A2"/>
    <w:rsid w:val="00EC2450"/>
    <w:rsid w:val="00EC7A74"/>
    <w:rsid w:val="00EE429A"/>
    <w:rsid w:val="00F0531E"/>
    <w:rsid w:val="00F07DC9"/>
    <w:rsid w:val="00F17AFC"/>
    <w:rsid w:val="00F302B5"/>
    <w:rsid w:val="00F7098F"/>
    <w:rsid w:val="00F7155F"/>
    <w:rsid w:val="00F771C5"/>
    <w:rsid w:val="00F820BB"/>
    <w:rsid w:val="00FA1266"/>
    <w:rsid w:val="00FA347F"/>
    <w:rsid w:val="00FB2190"/>
    <w:rsid w:val="00FB69C8"/>
    <w:rsid w:val="00FC48EE"/>
    <w:rsid w:val="00FD5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544F5"/>
  <w15:docId w15:val="{70ABC202-8B87-4A56-A976-55DEAFD0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36B1"/>
    <w:rPr>
      <w:lang w:val="cs-CZ" w:bidi="ar-SA"/>
    </w:rPr>
  </w:style>
  <w:style w:type="paragraph" w:styleId="Nadpis1">
    <w:name w:val="heading 1"/>
    <w:basedOn w:val="Normln"/>
    <w:next w:val="Normln"/>
    <w:link w:val="Nadpis1Char"/>
    <w:uiPriority w:val="9"/>
    <w:qFormat/>
    <w:rsid w:val="00E765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765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E7654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76541"/>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7654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765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765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765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E765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Uheadlines">
    <w:name w:val="DU headlines"/>
    <w:basedOn w:val="Normln"/>
    <w:next w:val="Normln"/>
    <w:autoRedefine/>
    <w:rsid w:val="00AF5774"/>
    <w:rPr>
      <w:b/>
      <w:color w:val="F99B1C"/>
      <w:sz w:val="28"/>
    </w:rPr>
  </w:style>
  <w:style w:type="paragraph" w:customStyle="1" w:styleId="Nadpisyprezentace">
    <w:name w:val="Nadpisy prezentace"/>
    <w:basedOn w:val="Normln"/>
    <w:next w:val="Normln"/>
    <w:autoRedefine/>
    <w:rsid w:val="00E76541"/>
    <w:pPr>
      <w:spacing w:after="120" w:line="23" w:lineRule="atLeast"/>
      <w:jc w:val="both"/>
    </w:pPr>
    <w:rPr>
      <w:rFonts w:cs="Tahoma"/>
      <w:b/>
      <w:bCs/>
      <w:color w:val="F99B1C"/>
      <w:sz w:val="40"/>
      <w:szCs w:val="40"/>
    </w:rPr>
  </w:style>
  <w:style w:type="paragraph" w:customStyle="1" w:styleId="Podnadpisprezentace">
    <w:name w:val="Podnadpis prezentace"/>
    <w:basedOn w:val="Normln"/>
    <w:next w:val="Normln"/>
    <w:autoRedefine/>
    <w:qFormat/>
    <w:rsid w:val="00B427DD"/>
    <w:pPr>
      <w:spacing w:line="23" w:lineRule="atLeast"/>
      <w:jc w:val="both"/>
    </w:pPr>
    <w:rPr>
      <w:rFonts w:cs="Tahoma"/>
      <w:b/>
      <w:color w:val="F99B1C"/>
      <w:sz w:val="28"/>
      <w:szCs w:val="40"/>
    </w:rPr>
  </w:style>
  <w:style w:type="paragraph" w:customStyle="1" w:styleId="BPAKodrka2">
    <w:name w:val="BP AK odrážka 2"/>
    <w:basedOn w:val="Normln"/>
    <w:autoRedefine/>
    <w:rsid w:val="00E76541"/>
    <w:pPr>
      <w:numPr>
        <w:numId w:val="6"/>
      </w:numPr>
      <w:tabs>
        <w:tab w:val="left" w:pos="709"/>
      </w:tabs>
      <w:jc w:val="both"/>
    </w:pPr>
    <w:rPr>
      <w:rFonts w:eastAsia="Calibri" w:cs="Tahoma"/>
      <w:bCs/>
      <w:szCs w:val="20"/>
    </w:rPr>
  </w:style>
  <w:style w:type="paragraph" w:styleId="Obsah1">
    <w:name w:val="toc 1"/>
    <w:basedOn w:val="Normln"/>
    <w:next w:val="Normln"/>
    <w:autoRedefine/>
    <w:uiPriority w:val="99"/>
    <w:rsid w:val="00E76541"/>
  </w:style>
  <w:style w:type="paragraph" w:customStyle="1" w:styleId="Nadpis">
    <w:name w:val="Nadpis"/>
    <w:basedOn w:val="Normln"/>
    <w:next w:val="Normln"/>
    <w:autoRedefine/>
    <w:rsid w:val="00AF5774"/>
    <w:pPr>
      <w:spacing w:line="23" w:lineRule="atLeast"/>
      <w:jc w:val="both"/>
    </w:pPr>
    <w:rPr>
      <w:b/>
      <w:color w:val="F99B1C"/>
      <w:sz w:val="40"/>
      <w:szCs w:val="40"/>
    </w:rPr>
  </w:style>
  <w:style w:type="paragraph" w:customStyle="1" w:styleId="Podnadpis1">
    <w:name w:val="Podnadpis1"/>
    <w:basedOn w:val="Normln"/>
    <w:next w:val="Normln"/>
    <w:autoRedefine/>
    <w:rsid w:val="00E76541"/>
    <w:pPr>
      <w:jc w:val="both"/>
    </w:pPr>
    <w:rPr>
      <w:b/>
      <w:color w:val="F99B1C"/>
      <w:sz w:val="28"/>
      <w:szCs w:val="28"/>
      <w:lang w:val="en-GB"/>
    </w:rPr>
  </w:style>
  <w:style w:type="paragraph" w:customStyle="1" w:styleId="odrkyprezentace">
    <w:name w:val="odrážky prezentace"/>
    <w:basedOn w:val="Normln"/>
    <w:autoRedefine/>
    <w:rsid w:val="00E76541"/>
    <w:pPr>
      <w:numPr>
        <w:numId w:val="7"/>
      </w:numPr>
      <w:suppressAutoHyphens/>
      <w:jc w:val="both"/>
    </w:pPr>
    <w:rPr>
      <w:sz w:val="21"/>
      <w:szCs w:val="21"/>
      <w:lang w:val="en-GB"/>
    </w:rPr>
  </w:style>
  <w:style w:type="paragraph" w:customStyle="1" w:styleId="StylBPAKzkladnLatinkaArialNarrow105bdkovn">
    <w:name w:val="Styl BP AK základní + (Latinka) Arial Narrow 105 b. Řádkování: ..."/>
    <w:basedOn w:val="Normln"/>
    <w:rsid w:val="00E76541"/>
    <w:pPr>
      <w:spacing w:line="23" w:lineRule="atLeast"/>
      <w:jc w:val="both"/>
    </w:pPr>
    <w:rPr>
      <w:szCs w:val="20"/>
    </w:rPr>
  </w:style>
  <w:style w:type="paragraph" w:customStyle="1" w:styleId="StylBPAKodrka2LatinkaArialNarrow105bdkovn">
    <w:name w:val="Styl BP AK odrážka 2 + (Latinka) Arial Narrow 105 b. Řádkování:..."/>
    <w:basedOn w:val="BPAKodrka2"/>
    <w:rsid w:val="00E76541"/>
    <w:pPr>
      <w:numPr>
        <w:numId w:val="0"/>
      </w:numPr>
      <w:tabs>
        <w:tab w:val="clear" w:pos="709"/>
      </w:tabs>
      <w:spacing w:line="23" w:lineRule="atLeast"/>
    </w:pPr>
    <w:rPr>
      <w:rFonts w:eastAsia="Times New Roman" w:cs="Times New Roman"/>
      <w:bCs w:val="0"/>
    </w:rPr>
  </w:style>
  <w:style w:type="numbering" w:customStyle="1" w:styleId="Styl1">
    <w:name w:val="Styl1"/>
    <w:uiPriority w:val="99"/>
    <w:rsid w:val="009E614E"/>
    <w:pPr>
      <w:numPr>
        <w:numId w:val="4"/>
      </w:numPr>
    </w:pPr>
  </w:style>
  <w:style w:type="character" w:customStyle="1" w:styleId="Nadpis1Char">
    <w:name w:val="Nadpis 1 Char"/>
    <w:basedOn w:val="Standardnpsmoodstavce"/>
    <w:link w:val="Nadpis1"/>
    <w:uiPriority w:val="9"/>
    <w:rsid w:val="00E7654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7654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E76541"/>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76541"/>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7654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7654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7654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76541"/>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E76541"/>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E76541"/>
    <w:pPr>
      <w:spacing w:line="240" w:lineRule="auto"/>
    </w:pPr>
    <w:rPr>
      <w:b/>
      <w:bCs/>
      <w:color w:val="4F81BD" w:themeColor="accent1"/>
      <w:sz w:val="18"/>
      <w:szCs w:val="18"/>
    </w:rPr>
  </w:style>
  <w:style w:type="paragraph" w:styleId="Nzev">
    <w:name w:val="Title"/>
    <w:basedOn w:val="Normln"/>
    <w:next w:val="Normln"/>
    <w:link w:val="NzevChar"/>
    <w:uiPriority w:val="10"/>
    <w:qFormat/>
    <w:rsid w:val="00E765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76541"/>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E765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E76541"/>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E76541"/>
    <w:rPr>
      <w:b/>
      <w:bCs/>
    </w:rPr>
  </w:style>
  <w:style w:type="character" w:styleId="Zdraznn">
    <w:name w:val="Emphasis"/>
    <w:basedOn w:val="Standardnpsmoodstavce"/>
    <w:uiPriority w:val="20"/>
    <w:qFormat/>
    <w:rsid w:val="00E76541"/>
    <w:rPr>
      <w:i/>
      <w:iCs/>
    </w:rPr>
  </w:style>
  <w:style w:type="paragraph" w:styleId="Bezmezer">
    <w:name w:val="No Spacing"/>
    <w:uiPriority w:val="1"/>
    <w:qFormat/>
    <w:rsid w:val="00E76541"/>
    <w:pPr>
      <w:spacing w:after="0" w:line="240" w:lineRule="auto"/>
    </w:pPr>
  </w:style>
  <w:style w:type="paragraph" w:styleId="Odstavecseseznamem">
    <w:name w:val="List Paragraph"/>
    <w:basedOn w:val="Normln"/>
    <w:uiPriority w:val="34"/>
    <w:qFormat/>
    <w:rsid w:val="00E76541"/>
    <w:pPr>
      <w:ind w:left="720"/>
      <w:contextualSpacing/>
    </w:pPr>
  </w:style>
  <w:style w:type="paragraph" w:styleId="Citt">
    <w:name w:val="Quote"/>
    <w:basedOn w:val="Normln"/>
    <w:next w:val="Normln"/>
    <w:link w:val="CittChar"/>
    <w:uiPriority w:val="29"/>
    <w:qFormat/>
    <w:rsid w:val="00E76541"/>
    <w:rPr>
      <w:i/>
      <w:iCs/>
      <w:color w:val="000000" w:themeColor="text1"/>
    </w:rPr>
  </w:style>
  <w:style w:type="character" w:customStyle="1" w:styleId="CittChar">
    <w:name w:val="Citát Char"/>
    <w:basedOn w:val="Standardnpsmoodstavce"/>
    <w:link w:val="Citt"/>
    <w:uiPriority w:val="29"/>
    <w:rsid w:val="00E76541"/>
    <w:rPr>
      <w:i/>
      <w:iCs/>
      <w:color w:val="000000" w:themeColor="text1"/>
    </w:rPr>
  </w:style>
  <w:style w:type="paragraph" w:styleId="Vrazncitt">
    <w:name w:val="Intense Quote"/>
    <w:basedOn w:val="Normln"/>
    <w:next w:val="Normln"/>
    <w:link w:val="VrazncittChar"/>
    <w:uiPriority w:val="30"/>
    <w:qFormat/>
    <w:rsid w:val="00E76541"/>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E76541"/>
    <w:rPr>
      <w:b/>
      <w:bCs/>
      <w:i/>
      <w:iCs/>
      <w:color w:val="4F81BD" w:themeColor="accent1"/>
    </w:rPr>
  </w:style>
  <w:style w:type="character" w:styleId="Zdraznnjemn">
    <w:name w:val="Subtle Emphasis"/>
    <w:basedOn w:val="Standardnpsmoodstavce"/>
    <w:uiPriority w:val="19"/>
    <w:qFormat/>
    <w:rsid w:val="00E76541"/>
    <w:rPr>
      <w:i/>
      <w:iCs/>
      <w:color w:val="808080" w:themeColor="text1" w:themeTint="7F"/>
    </w:rPr>
  </w:style>
  <w:style w:type="character" w:styleId="Zdraznnintenzivn">
    <w:name w:val="Intense Emphasis"/>
    <w:basedOn w:val="Standardnpsmoodstavce"/>
    <w:uiPriority w:val="21"/>
    <w:qFormat/>
    <w:rsid w:val="00E76541"/>
    <w:rPr>
      <w:b/>
      <w:bCs/>
      <w:i/>
      <w:iCs/>
      <w:color w:val="4F81BD" w:themeColor="accent1"/>
    </w:rPr>
  </w:style>
  <w:style w:type="character" w:styleId="Odkazjemn">
    <w:name w:val="Subtle Reference"/>
    <w:basedOn w:val="Standardnpsmoodstavce"/>
    <w:uiPriority w:val="31"/>
    <w:qFormat/>
    <w:rsid w:val="00E76541"/>
    <w:rPr>
      <w:smallCaps/>
      <w:color w:val="C0504D" w:themeColor="accent2"/>
      <w:u w:val="single"/>
    </w:rPr>
  </w:style>
  <w:style w:type="character" w:styleId="Odkazintenzivn">
    <w:name w:val="Intense Reference"/>
    <w:basedOn w:val="Standardnpsmoodstavce"/>
    <w:uiPriority w:val="32"/>
    <w:qFormat/>
    <w:rsid w:val="00E76541"/>
    <w:rPr>
      <w:b/>
      <w:bCs/>
      <w:smallCaps/>
      <w:color w:val="C0504D" w:themeColor="accent2"/>
      <w:spacing w:val="5"/>
      <w:u w:val="single"/>
    </w:rPr>
  </w:style>
  <w:style w:type="character" w:styleId="Nzevknihy">
    <w:name w:val="Book Title"/>
    <w:basedOn w:val="Standardnpsmoodstavce"/>
    <w:uiPriority w:val="33"/>
    <w:qFormat/>
    <w:rsid w:val="00E76541"/>
    <w:rPr>
      <w:b/>
      <w:bCs/>
      <w:smallCaps/>
      <w:spacing w:val="5"/>
    </w:rPr>
  </w:style>
  <w:style w:type="paragraph" w:styleId="Nadpisobsahu">
    <w:name w:val="TOC Heading"/>
    <w:basedOn w:val="Nadpis1"/>
    <w:next w:val="Normln"/>
    <w:uiPriority w:val="39"/>
    <w:semiHidden/>
    <w:unhideWhenUsed/>
    <w:qFormat/>
    <w:rsid w:val="00E76541"/>
    <w:pPr>
      <w:outlineLvl w:val="9"/>
    </w:pPr>
  </w:style>
  <w:style w:type="paragraph" w:customStyle="1" w:styleId="DUPodlnek1">
    <w:name w:val="DU Podčlánek 1"/>
    <w:basedOn w:val="Normln"/>
    <w:qFormat/>
    <w:rsid w:val="00E76541"/>
    <w:pPr>
      <w:numPr>
        <w:numId w:val="10"/>
      </w:numPr>
    </w:pPr>
  </w:style>
  <w:style w:type="paragraph" w:styleId="Normlnweb">
    <w:name w:val="Normal (Web)"/>
    <w:basedOn w:val="Normln"/>
    <w:uiPriority w:val="99"/>
    <w:unhideWhenUsed/>
    <w:rsid w:val="00E76541"/>
    <w:pPr>
      <w:spacing w:after="182" w:line="182" w:lineRule="atLeast"/>
      <w:jc w:val="both"/>
    </w:pPr>
    <w:rPr>
      <w:rFonts w:ascii="Times New Roman" w:eastAsia="Times New Roman" w:hAnsi="Times New Roman" w:cs="Times New Roman"/>
      <w:sz w:val="14"/>
      <w:szCs w:val="14"/>
      <w:lang w:eastAsia="cs-CZ"/>
    </w:rPr>
  </w:style>
  <w:style w:type="paragraph" w:customStyle="1" w:styleId="DUClanek">
    <w:name w:val="DU Clanek"/>
    <w:basedOn w:val="Normln"/>
    <w:next w:val="slovanseznam2"/>
    <w:qFormat/>
    <w:rsid w:val="00B427DD"/>
    <w:pPr>
      <w:jc w:val="center"/>
    </w:pPr>
    <w:rPr>
      <w:b/>
    </w:rPr>
  </w:style>
  <w:style w:type="numbering" w:customStyle="1" w:styleId="kacastyl">
    <w:name w:val="kacastyl"/>
    <w:uiPriority w:val="99"/>
    <w:rsid w:val="00381C43"/>
    <w:pPr>
      <w:numPr>
        <w:numId w:val="11"/>
      </w:numPr>
    </w:pPr>
  </w:style>
  <w:style w:type="numbering" w:customStyle="1" w:styleId="DUStyl">
    <w:name w:val="DU Styl"/>
    <w:uiPriority w:val="99"/>
    <w:rsid w:val="009E614E"/>
    <w:pPr>
      <w:numPr>
        <w:numId w:val="12"/>
      </w:numPr>
    </w:pPr>
  </w:style>
  <w:style w:type="paragraph" w:customStyle="1" w:styleId="DUcentral">
    <w:name w:val="DU central"/>
    <w:basedOn w:val="Normln"/>
    <w:next w:val="Normln"/>
    <w:link w:val="DUcentralChar"/>
    <w:qFormat/>
    <w:rsid w:val="00B427DD"/>
    <w:pPr>
      <w:jc w:val="center"/>
    </w:pPr>
    <w:rPr>
      <w:b/>
      <w:sz w:val="24"/>
      <w:szCs w:val="24"/>
    </w:rPr>
  </w:style>
  <w:style w:type="character" w:customStyle="1" w:styleId="DUcentralChar">
    <w:name w:val="DU central Char"/>
    <w:basedOn w:val="Standardnpsmoodstavce"/>
    <w:link w:val="DUcentral"/>
    <w:rsid w:val="00B427DD"/>
    <w:rPr>
      <w:b/>
      <w:sz w:val="24"/>
      <w:szCs w:val="24"/>
      <w:lang w:val="cs-CZ"/>
    </w:rPr>
  </w:style>
  <w:style w:type="paragraph" w:customStyle="1" w:styleId="DUprvnseznam">
    <w:name w:val="DU první seznam"/>
    <w:basedOn w:val="DUcentral"/>
    <w:next w:val="Pokraovnseznamu2"/>
    <w:qFormat/>
    <w:rsid w:val="00B427DD"/>
    <w:pPr>
      <w:numPr>
        <w:ilvl w:val="1"/>
        <w:numId w:val="15"/>
      </w:numPr>
      <w:jc w:val="left"/>
    </w:pPr>
  </w:style>
  <w:style w:type="paragraph" w:styleId="Pokraovnseznamu2">
    <w:name w:val="List Continue 2"/>
    <w:basedOn w:val="Normln"/>
    <w:rsid w:val="00B427DD"/>
    <w:pPr>
      <w:spacing w:after="120"/>
      <w:ind w:left="566"/>
      <w:contextualSpacing/>
    </w:pPr>
  </w:style>
  <w:style w:type="paragraph" w:styleId="slovanseznam2">
    <w:name w:val="List Number 2"/>
    <w:basedOn w:val="Normln"/>
    <w:rsid w:val="00B427DD"/>
    <w:pPr>
      <w:numPr>
        <w:numId w:val="16"/>
      </w:numPr>
      <w:contextualSpacing/>
    </w:pPr>
  </w:style>
  <w:style w:type="character" w:customStyle="1" w:styleId="apple-style-span">
    <w:name w:val="apple-style-span"/>
    <w:basedOn w:val="Standardnpsmoodstavce"/>
    <w:rsid w:val="00DE36B1"/>
  </w:style>
  <w:style w:type="table" w:styleId="Mkatabulky">
    <w:name w:val="Table Grid"/>
    <w:basedOn w:val="Normlntabulka"/>
    <w:uiPriority w:val="59"/>
    <w:rsid w:val="00DE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iszn">
    <w:name w:val="spiszn"/>
    <w:basedOn w:val="Standardnpsmoodstavce"/>
    <w:rsid w:val="00DE36B1"/>
  </w:style>
  <w:style w:type="paragraph" w:styleId="Textbubliny">
    <w:name w:val="Balloon Text"/>
    <w:basedOn w:val="Normln"/>
    <w:link w:val="TextbublinyChar"/>
    <w:rsid w:val="00F053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F0531E"/>
    <w:rPr>
      <w:rFonts w:ascii="Tahoma" w:hAnsi="Tahoma" w:cs="Tahoma"/>
      <w:sz w:val="16"/>
      <w:szCs w:val="16"/>
      <w:lang w:val="cs-CZ" w:bidi="ar-SA"/>
    </w:rPr>
  </w:style>
  <w:style w:type="character" w:styleId="Odkaznakoment">
    <w:name w:val="annotation reference"/>
    <w:basedOn w:val="Standardnpsmoodstavce"/>
    <w:uiPriority w:val="99"/>
    <w:rsid w:val="009A4681"/>
    <w:rPr>
      <w:sz w:val="16"/>
      <w:szCs w:val="16"/>
    </w:rPr>
  </w:style>
  <w:style w:type="paragraph" w:styleId="Textkomente">
    <w:name w:val="annotation text"/>
    <w:basedOn w:val="Normln"/>
    <w:link w:val="TextkomenteChar"/>
    <w:uiPriority w:val="99"/>
    <w:rsid w:val="009A4681"/>
    <w:pPr>
      <w:spacing w:line="240" w:lineRule="auto"/>
    </w:pPr>
    <w:rPr>
      <w:sz w:val="20"/>
      <w:szCs w:val="20"/>
    </w:rPr>
  </w:style>
  <w:style w:type="character" w:customStyle="1" w:styleId="TextkomenteChar">
    <w:name w:val="Text komentáře Char"/>
    <w:basedOn w:val="Standardnpsmoodstavce"/>
    <w:link w:val="Textkomente"/>
    <w:uiPriority w:val="99"/>
    <w:rsid w:val="009A4681"/>
    <w:rPr>
      <w:sz w:val="20"/>
      <w:szCs w:val="20"/>
      <w:lang w:val="cs-CZ" w:bidi="ar-SA"/>
    </w:rPr>
  </w:style>
  <w:style w:type="paragraph" w:styleId="Pedmtkomente">
    <w:name w:val="annotation subject"/>
    <w:basedOn w:val="Textkomente"/>
    <w:next w:val="Textkomente"/>
    <w:link w:val="PedmtkomenteChar"/>
    <w:rsid w:val="009A4681"/>
    <w:rPr>
      <w:b/>
      <w:bCs/>
    </w:rPr>
  </w:style>
  <w:style w:type="character" w:customStyle="1" w:styleId="PedmtkomenteChar">
    <w:name w:val="Předmět komentáře Char"/>
    <w:basedOn w:val="TextkomenteChar"/>
    <w:link w:val="Pedmtkomente"/>
    <w:rsid w:val="009A4681"/>
    <w:rPr>
      <w:b/>
      <w:bCs/>
      <w:sz w:val="20"/>
      <w:szCs w:val="20"/>
      <w:lang w:val="cs-CZ" w:bidi="ar-SA"/>
    </w:rPr>
  </w:style>
  <w:style w:type="paragraph" w:styleId="Zhlav">
    <w:name w:val="header"/>
    <w:basedOn w:val="Normln"/>
    <w:link w:val="ZhlavChar"/>
    <w:rsid w:val="00201DEA"/>
    <w:pPr>
      <w:tabs>
        <w:tab w:val="center" w:pos="4536"/>
        <w:tab w:val="right" w:pos="9072"/>
      </w:tabs>
      <w:spacing w:after="0" w:line="240" w:lineRule="auto"/>
    </w:pPr>
  </w:style>
  <w:style w:type="character" w:customStyle="1" w:styleId="ZhlavChar">
    <w:name w:val="Záhlaví Char"/>
    <w:basedOn w:val="Standardnpsmoodstavce"/>
    <w:link w:val="Zhlav"/>
    <w:rsid w:val="00201DEA"/>
    <w:rPr>
      <w:lang w:val="cs-CZ" w:bidi="ar-SA"/>
    </w:rPr>
  </w:style>
  <w:style w:type="paragraph" w:styleId="Zpat">
    <w:name w:val="footer"/>
    <w:basedOn w:val="Normln"/>
    <w:link w:val="ZpatChar"/>
    <w:uiPriority w:val="99"/>
    <w:rsid w:val="00201DEA"/>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DEA"/>
    <w:rPr>
      <w:lang w:val="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1018">
      <w:bodyDiv w:val="1"/>
      <w:marLeft w:val="0"/>
      <w:marRight w:val="0"/>
      <w:marTop w:val="0"/>
      <w:marBottom w:val="0"/>
      <w:divBdr>
        <w:top w:val="none" w:sz="0" w:space="0" w:color="auto"/>
        <w:left w:val="none" w:sz="0" w:space="0" w:color="auto"/>
        <w:bottom w:val="none" w:sz="0" w:space="0" w:color="auto"/>
        <w:right w:val="none" w:sz="0" w:space="0" w:color="auto"/>
      </w:divBdr>
      <w:divsChild>
        <w:div w:id="1041171196">
          <w:marLeft w:val="0"/>
          <w:marRight w:val="0"/>
          <w:marTop w:val="0"/>
          <w:marBottom w:val="0"/>
          <w:divBdr>
            <w:top w:val="none" w:sz="0" w:space="0" w:color="auto"/>
            <w:left w:val="none" w:sz="0" w:space="0" w:color="auto"/>
            <w:bottom w:val="none" w:sz="0" w:space="0" w:color="auto"/>
            <w:right w:val="none" w:sz="0" w:space="0" w:color="auto"/>
          </w:divBdr>
          <w:divsChild>
            <w:div w:id="2036735477">
              <w:marLeft w:val="0"/>
              <w:marRight w:val="0"/>
              <w:marTop w:val="0"/>
              <w:marBottom w:val="0"/>
              <w:divBdr>
                <w:top w:val="none" w:sz="0" w:space="0" w:color="auto"/>
                <w:left w:val="none" w:sz="0" w:space="0" w:color="auto"/>
                <w:bottom w:val="none" w:sz="0" w:space="0" w:color="auto"/>
                <w:right w:val="none" w:sz="0" w:space="0" w:color="auto"/>
              </w:divBdr>
              <w:divsChild>
                <w:div w:id="2087064941">
                  <w:marLeft w:val="0"/>
                  <w:marRight w:val="0"/>
                  <w:marTop w:val="0"/>
                  <w:marBottom w:val="0"/>
                  <w:divBdr>
                    <w:top w:val="none" w:sz="0" w:space="0" w:color="auto"/>
                    <w:left w:val="none" w:sz="0" w:space="0" w:color="auto"/>
                    <w:bottom w:val="none" w:sz="0" w:space="0" w:color="auto"/>
                    <w:right w:val="none" w:sz="0" w:space="0" w:color="auto"/>
                  </w:divBdr>
                  <w:divsChild>
                    <w:div w:id="1000350322">
                      <w:marLeft w:val="0"/>
                      <w:marRight w:val="0"/>
                      <w:marTop w:val="0"/>
                      <w:marBottom w:val="150"/>
                      <w:divBdr>
                        <w:top w:val="none" w:sz="0" w:space="0" w:color="auto"/>
                        <w:left w:val="none" w:sz="0" w:space="0" w:color="auto"/>
                        <w:bottom w:val="none" w:sz="0" w:space="0" w:color="auto"/>
                        <w:right w:val="none" w:sz="0" w:space="0" w:color="auto"/>
                      </w:divBdr>
                      <w:divsChild>
                        <w:div w:id="1506869960">
                          <w:marLeft w:val="0"/>
                          <w:marRight w:val="0"/>
                          <w:marTop w:val="0"/>
                          <w:marBottom w:val="0"/>
                          <w:divBdr>
                            <w:top w:val="none" w:sz="0" w:space="0" w:color="auto"/>
                            <w:left w:val="none" w:sz="0" w:space="0" w:color="auto"/>
                            <w:bottom w:val="none" w:sz="0" w:space="0" w:color="auto"/>
                            <w:right w:val="none" w:sz="0" w:space="0" w:color="auto"/>
                          </w:divBdr>
                          <w:divsChild>
                            <w:div w:id="3290895">
                              <w:marLeft w:val="0"/>
                              <w:marRight w:val="0"/>
                              <w:marTop w:val="0"/>
                              <w:marBottom w:val="0"/>
                              <w:divBdr>
                                <w:top w:val="none" w:sz="0" w:space="0" w:color="auto"/>
                                <w:left w:val="none" w:sz="0" w:space="0" w:color="auto"/>
                                <w:bottom w:val="none" w:sz="0" w:space="0" w:color="auto"/>
                                <w:right w:val="none" w:sz="0" w:space="0" w:color="auto"/>
                              </w:divBdr>
                              <w:divsChild>
                                <w:div w:id="1107585014">
                                  <w:marLeft w:val="0"/>
                                  <w:marRight w:val="0"/>
                                  <w:marTop w:val="0"/>
                                  <w:marBottom w:val="0"/>
                                  <w:divBdr>
                                    <w:top w:val="none" w:sz="0" w:space="0" w:color="auto"/>
                                    <w:left w:val="none" w:sz="0" w:space="0" w:color="auto"/>
                                    <w:bottom w:val="none" w:sz="0" w:space="0" w:color="auto"/>
                                    <w:right w:val="none" w:sz="0" w:space="0" w:color="auto"/>
                                  </w:divBdr>
                                  <w:divsChild>
                                    <w:div w:id="6250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065266">
      <w:bodyDiv w:val="1"/>
      <w:marLeft w:val="0"/>
      <w:marRight w:val="0"/>
      <w:marTop w:val="0"/>
      <w:marBottom w:val="0"/>
      <w:divBdr>
        <w:top w:val="none" w:sz="0" w:space="0" w:color="auto"/>
        <w:left w:val="none" w:sz="0" w:space="0" w:color="auto"/>
        <w:bottom w:val="none" w:sz="0" w:space="0" w:color="auto"/>
        <w:right w:val="none" w:sz="0" w:space="0" w:color="auto"/>
      </w:divBdr>
    </w:div>
    <w:div w:id="5516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CDC8C-5316-452F-81C9-E987C989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6644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AK Dunovská a partneři</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Kateřina Plívová</dc:creator>
  <cp:lastModifiedBy>Jindrich Busa</cp:lastModifiedBy>
  <cp:revision>3</cp:revision>
  <cp:lastPrinted>2017-05-17T15:09:00Z</cp:lastPrinted>
  <dcterms:created xsi:type="dcterms:W3CDTF">2019-05-30T11:28:00Z</dcterms:created>
  <dcterms:modified xsi:type="dcterms:W3CDTF">2019-05-30T11:28:00Z</dcterms:modified>
</cp:coreProperties>
</file>