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3075" w14:textId="77777777" w:rsidR="007E7B1D" w:rsidRPr="00307106" w:rsidRDefault="007E7B1D">
      <w:pPr>
        <w:rPr>
          <w:rFonts w:ascii="Arial" w:eastAsia="Times New Roman" w:hAnsi="Arial" w:cs="Arial"/>
          <w:sz w:val="20"/>
          <w:szCs w:val="20"/>
        </w:rPr>
      </w:pPr>
    </w:p>
    <w:p w14:paraId="7643E8F8" w14:textId="77777777" w:rsidR="007E7B1D" w:rsidRPr="00307106" w:rsidRDefault="007E7B1D">
      <w:pPr>
        <w:rPr>
          <w:rFonts w:ascii="Arial" w:eastAsia="Times New Roman" w:hAnsi="Arial" w:cs="Arial"/>
          <w:sz w:val="20"/>
          <w:szCs w:val="20"/>
        </w:rPr>
      </w:pPr>
    </w:p>
    <w:p w14:paraId="264D64A9" w14:textId="77777777" w:rsidR="007E7B1D" w:rsidRPr="00307106" w:rsidRDefault="007E7B1D">
      <w:pPr>
        <w:rPr>
          <w:rFonts w:ascii="Arial" w:eastAsia="Times New Roman" w:hAnsi="Arial" w:cs="Arial"/>
          <w:sz w:val="20"/>
          <w:szCs w:val="20"/>
        </w:rPr>
      </w:pPr>
    </w:p>
    <w:p w14:paraId="021B76E6" w14:textId="77777777" w:rsidR="007E7B1D" w:rsidRPr="00307106" w:rsidRDefault="007E7B1D">
      <w:pPr>
        <w:rPr>
          <w:rFonts w:ascii="Arial" w:eastAsia="Times New Roman" w:hAnsi="Arial" w:cs="Arial"/>
          <w:sz w:val="20"/>
          <w:szCs w:val="20"/>
        </w:rPr>
      </w:pPr>
    </w:p>
    <w:p w14:paraId="72ACFE50" w14:textId="77777777" w:rsidR="007E7B1D" w:rsidRPr="00307106" w:rsidRDefault="007E7B1D">
      <w:pPr>
        <w:rPr>
          <w:rFonts w:ascii="Arial" w:eastAsia="Times New Roman" w:hAnsi="Arial" w:cs="Arial"/>
          <w:sz w:val="20"/>
          <w:szCs w:val="20"/>
        </w:rPr>
      </w:pPr>
    </w:p>
    <w:p w14:paraId="71A53C12" w14:textId="77777777" w:rsidR="007E7B1D" w:rsidRPr="00307106" w:rsidRDefault="007E7B1D">
      <w:pPr>
        <w:spacing w:before="1"/>
        <w:rPr>
          <w:rFonts w:ascii="Arial" w:eastAsia="Times New Roman" w:hAnsi="Arial" w:cs="Arial"/>
          <w:sz w:val="21"/>
          <w:szCs w:val="21"/>
        </w:rPr>
      </w:pPr>
    </w:p>
    <w:p w14:paraId="6AFE7CCA" w14:textId="61C2DDCE" w:rsidR="007E7B1D" w:rsidRPr="00307106" w:rsidRDefault="00BB4F53">
      <w:pPr>
        <w:pStyle w:val="Nadpis1"/>
        <w:ind w:right="3474"/>
        <w:rPr>
          <w:rFonts w:cs="Arial"/>
          <w:b w:val="0"/>
          <w:bCs w:val="0"/>
        </w:rPr>
      </w:pPr>
      <w:r>
        <w:rPr>
          <w:rFonts w:cs="Arial"/>
          <w:noProof/>
        </w:rPr>
        <w:drawing>
          <wp:anchor distT="0" distB="0" distL="114300" distR="114300" simplePos="0" relativeHeight="503307248" behindDoc="1" locked="0" layoutInCell="1" allowOverlap="1" wp14:anchorId="02406907" wp14:editId="18326E6C">
            <wp:simplePos x="0" y="0"/>
            <wp:positionH relativeFrom="page">
              <wp:posOffset>4683760</wp:posOffset>
            </wp:positionH>
            <wp:positionV relativeFrom="paragraph">
              <wp:posOffset>-895985</wp:posOffset>
            </wp:positionV>
            <wp:extent cx="2872105" cy="108966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cs="Arial"/>
        </w:rPr>
        <w:t>Informace v souladu s REACH, článek 33 na základě</w:t>
      </w:r>
    </w:p>
    <w:p w14:paraId="40065422" w14:textId="77777777" w:rsidR="007E7B1D" w:rsidRPr="00307106" w:rsidRDefault="0054654B">
      <w:pPr>
        <w:spacing w:before="40" w:line="276" w:lineRule="auto"/>
        <w:ind w:left="2175" w:right="3474" w:firstLine="1663"/>
        <w:rPr>
          <w:rFonts w:ascii="Arial" w:eastAsia="Arial" w:hAnsi="Arial" w:cs="Arial"/>
        </w:rPr>
      </w:pPr>
      <w:r w:rsidRPr="00307106">
        <w:rPr>
          <w:rFonts w:ascii="Arial" w:hAnsi="Arial" w:cs="Arial"/>
          <w:b/>
        </w:rPr>
        <w:t>formátu bezpečnostního listu v souladu s 1907/2006 REACH</w:t>
      </w:r>
    </w:p>
    <w:p w14:paraId="4DD674D7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374D49CD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jc w:val="both"/>
        <w:rPr>
          <w:rFonts w:cs="Arial"/>
          <w:b w:val="0"/>
          <w:bCs w:val="0"/>
        </w:rPr>
      </w:pPr>
      <w:r w:rsidRPr="00307106">
        <w:rPr>
          <w:rFonts w:cs="Arial"/>
        </w:rPr>
        <w:t>Obecné informace</w:t>
      </w:r>
    </w:p>
    <w:p w14:paraId="2B151451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62B92EE8" w14:textId="77777777" w:rsidR="007E7B1D" w:rsidRPr="00307106" w:rsidRDefault="000D54EB" w:rsidP="00307106">
      <w:pPr>
        <w:spacing w:line="276" w:lineRule="auto"/>
        <w:ind w:left="116" w:right="1558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07106">
        <w:rPr>
          <w:rFonts w:ascii="Arial" w:hAnsi="Arial" w:cs="Arial"/>
          <w:b/>
          <w:sz w:val="20"/>
        </w:rPr>
        <w:t>Pro zde uvedené výrobky není p</w:t>
      </w:r>
      <w:r w:rsidR="0054654B" w:rsidRPr="00307106">
        <w:rPr>
          <w:rFonts w:ascii="Arial" w:hAnsi="Arial" w:cs="Arial"/>
          <w:b/>
          <w:sz w:val="20"/>
        </w:rPr>
        <w:t>odl</w:t>
      </w:r>
      <w:r w:rsidRPr="00307106">
        <w:rPr>
          <w:rFonts w:ascii="Arial" w:hAnsi="Arial" w:cs="Arial"/>
          <w:b/>
          <w:sz w:val="20"/>
        </w:rPr>
        <w:t>e předpisu REACH nutné zhotovovat bezpečnostní list</w:t>
      </w:r>
      <w:r w:rsidR="0054654B" w:rsidRPr="00307106">
        <w:rPr>
          <w:rFonts w:ascii="Arial" w:hAnsi="Arial" w:cs="Arial"/>
          <w:b/>
          <w:sz w:val="20"/>
        </w:rPr>
        <w:t xml:space="preserve">. </w:t>
      </w:r>
      <w:r w:rsidRPr="00307106">
        <w:rPr>
          <w:rFonts w:ascii="Arial" w:hAnsi="Arial" w:cs="Arial"/>
          <w:b/>
          <w:sz w:val="20"/>
        </w:rPr>
        <w:t>Z tohoto důvodu</w:t>
      </w:r>
      <w:r w:rsidR="0054654B" w:rsidRPr="00307106">
        <w:rPr>
          <w:rFonts w:ascii="Arial" w:hAnsi="Arial" w:cs="Arial"/>
          <w:b/>
          <w:sz w:val="20"/>
        </w:rPr>
        <w:t xml:space="preserve"> se jedná o dobrovolné informace o výrobku</w:t>
      </w:r>
      <w:r w:rsidRPr="00307106">
        <w:rPr>
          <w:rFonts w:ascii="Arial" w:hAnsi="Arial" w:cs="Arial"/>
          <w:b/>
          <w:sz w:val="20"/>
        </w:rPr>
        <w:t>, které jsou</w:t>
      </w:r>
      <w:r w:rsidR="0054654B" w:rsidRPr="00307106">
        <w:rPr>
          <w:rFonts w:ascii="Arial" w:hAnsi="Arial" w:cs="Arial"/>
          <w:b/>
          <w:sz w:val="20"/>
        </w:rPr>
        <w:t xml:space="preserve"> založené na bezpečnostním listu.</w:t>
      </w:r>
      <w:r w:rsidR="0054654B" w:rsidRPr="00307106">
        <w:rPr>
          <w:rFonts w:ascii="Arial" w:hAnsi="Arial" w:cs="Arial"/>
          <w:b/>
          <w:sz w:val="20"/>
        </w:rPr>
        <w:cr/>
      </w:r>
      <w:r w:rsidR="0054654B" w:rsidRPr="00307106">
        <w:rPr>
          <w:rFonts w:ascii="Arial" w:hAnsi="Arial" w:cs="Arial"/>
          <w:b/>
          <w:sz w:val="20"/>
        </w:rPr>
        <w:br/>
      </w:r>
    </w:p>
    <w:p w14:paraId="75495F0F" w14:textId="77777777" w:rsidR="007E7B1D" w:rsidRPr="00307106" w:rsidRDefault="007E7B1D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14:paraId="1AD0A80E" w14:textId="77777777" w:rsidR="007E7B1D" w:rsidRPr="00307106" w:rsidRDefault="0054654B">
      <w:pPr>
        <w:pStyle w:val="Odstavecseseznamem"/>
        <w:numPr>
          <w:ilvl w:val="0"/>
          <w:numId w:val="5"/>
        </w:numPr>
        <w:tabs>
          <w:tab w:val="left" w:pos="477"/>
        </w:tabs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b/>
          <w:sz w:val="20"/>
        </w:rPr>
        <w:t>Identifikace výrobku a výrobce</w:t>
      </w:r>
    </w:p>
    <w:p w14:paraId="51CBE040" w14:textId="77777777" w:rsidR="007E7B1D" w:rsidRPr="00307106" w:rsidRDefault="007E7B1D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14:paraId="1566D5D0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  <w:u w:val="single" w:color="000000"/>
        </w:rPr>
        <w:t>Identifikace výrobku</w:t>
      </w:r>
    </w:p>
    <w:p w14:paraId="252548E2" w14:textId="77777777" w:rsidR="007E7B1D" w:rsidRPr="00307106" w:rsidRDefault="007E7B1D">
      <w:pPr>
        <w:spacing w:before="10"/>
        <w:rPr>
          <w:rFonts w:ascii="Arial" w:eastAsia="Arial" w:hAnsi="Arial" w:cs="Arial"/>
          <w:sz w:val="13"/>
          <w:szCs w:val="13"/>
        </w:rPr>
      </w:pPr>
    </w:p>
    <w:p w14:paraId="2269C20C" w14:textId="77777777" w:rsidR="007E7B1D" w:rsidRPr="00307106" w:rsidRDefault="0054654B">
      <w:pPr>
        <w:pStyle w:val="Zkladntext"/>
        <w:tabs>
          <w:tab w:val="left" w:pos="3092"/>
        </w:tabs>
        <w:spacing w:before="74"/>
        <w:ind w:left="968" w:right="1454"/>
        <w:rPr>
          <w:rFonts w:cs="Arial"/>
        </w:rPr>
      </w:pPr>
      <w:r w:rsidRPr="00307106">
        <w:rPr>
          <w:rFonts w:cs="Arial"/>
        </w:rPr>
        <w:t>Název výrobku:</w:t>
      </w:r>
      <w:r w:rsidRPr="00307106">
        <w:rPr>
          <w:rFonts w:cs="Arial"/>
        </w:rPr>
        <w:tab/>
        <w:t>Modelové pěny EPS VFG 18, VFG 24 a</w:t>
      </w:r>
    </w:p>
    <w:p w14:paraId="4E4605D3" w14:textId="77777777" w:rsidR="007E7B1D" w:rsidRPr="00307106" w:rsidRDefault="0054654B">
      <w:pPr>
        <w:pStyle w:val="Zkladntext"/>
        <w:spacing w:before="37"/>
        <w:ind w:left="3093" w:right="1454"/>
        <w:rPr>
          <w:rFonts w:cs="Arial"/>
        </w:rPr>
      </w:pPr>
      <w:r w:rsidRPr="00307106">
        <w:rPr>
          <w:rFonts w:cs="Arial"/>
        </w:rPr>
        <w:t>MB 20, MB 20 B1, MB 25, MB 30, MB 30 B1, MB 40 B1</w:t>
      </w:r>
    </w:p>
    <w:p w14:paraId="6F5A43B8" w14:textId="77777777" w:rsidR="007E7B1D" w:rsidRPr="00307106" w:rsidRDefault="007E7B1D">
      <w:pPr>
        <w:spacing w:before="11"/>
        <w:rPr>
          <w:rFonts w:ascii="Arial" w:eastAsia="Arial" w:hAnsi="Arial" w:cs="Arial"/>
          <w:sz w:val="25"/>
          <w:szCs w:val="25"/>
        </w:rPr>
      </w:pPr>
    </w:p>
    <w:p w14:paraId="74E4E267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spacing w:line="276" w:lineRule="auto"/>
        <w:ind w:right="145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  <w:u w:val="single" w:color="000000"/>
        </w:rPr>
        <w:t>Podstatné identifikované použití výrobku a nepovolené aplikace</w:t>
      </w:r>
    </w:p>
    <w:p w14:paraId="0BCE6D4D" w14:textId="77777777" w:rsidR="007E7B1D" w:rsidRPr="00307106" w:rsidRDefault="007E7B1D">
      <w:pPr>
        <w:spacing w:before="2"/>
        <w:rPr>
          <w:rFonts w:ascii="Arial" w:eastAsia="Arial" w:hAnsi="Arial" w:cs="Arial"/>
          <w:sz w:val="11"/>
          <w:szCs w:val="11"/>
        </w:rPr>
      </w:pPr>
    </w:p>
    <w:p w14:paraId="0943DB66" w14:textId="77777777" w:rsidR="007E7B1D" w:rsidRPr="00307106" w:rsidRDefault="0054654B">
      <w:pPr>
        <w:pStyle w:val="Zkladntext"/>
        <w:spacing w:before="74" w:line="276" w:lineRule="auto"/>
        <w:ind w:left="968" w:right="1434"/>
        <w:rPr>
          <w:rFonts w:cs="Arial"/>
        </w:rPr>
      </w:pPr>
      <w:r w:rsidRPr="00307106">
        <w:rPr>
          <w:rFonts w:cs="Arial"/>
        </w:rPr>
        <w:t>Výrobek je určen pro zhotovení netrvalých modelů pro lití do plné formy v souladu se směrnicí VDI 3381 a směrnice VDG M4E. Dále pak pro výrobu prototypů, exponátů, skulptur, veletržních a architektonických modelů, scénických modelů a kulis.</w:t>
      </w:r>
    </w:p>
    <w:p w14:paraId="0B4482EB" w14:textId="77777777" w:rsidR="007E7B1D" w:rsidRPr="00307106" w:rsidRDefault="007E7B1D">
      <w:pPr>
        <w:spacing w:before="7"/>
        <w:rPr>
          <w:rFonts w:ascii="Arial" w:eastAsia="Arial" w:hAnsi="Arial" w:cs="Arial"/>
          <w:sz w:val="17"/>
          <w:szCs w:val="17"/>
        </w:rPr>
      </w:pPr>
    </w:p>
    <w:p w14:paraId="5E5F20F3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  <w:u w:val="single" w:color="000000"/>
        </w:rPr>
        <w:t>Podrobné údaje o poskytovateli těchto informací</w:t>
      </w:r>
    </w:p>
    <w:p w14:paraId="027FF13C" w14:textId="77777777" w:rsidR="007E7B1D" w:rsidRPr="00307106" w:rsidRDefault="007E7B1D">
      <w:pPr>
        <w:spacing w:before="10"/>
        <w:rPr>
          <w:rFonts w:ascii="Arial" w:eastAsia="Arial" w:hAnsi="Arial" w:cs="Arial"/>
          <w:sz w:val="13"/>
          <w:szCs w:val="13"/>
        </w:rPr>
      </w:pPr>
    </w:p>
    <w:p w14:paraId="01562DF1" w14:textId="77777777" w:rsidR="007E7B1D" w:rsidRPr="00307106" w:rsidRDefault="0054654B">
      <w:pPr>
        <w:pStyle w:val="Zkladntext"/>
        <w:tabs>
          <w:tab w:val="left" w:pos="3092"/>
        </w:tabs>
        <w:spacing w:before="74" w:line="276" w:lineRule="auto"/>
        <w:ind w:left="968" w:right="5539"/>
        <w:rPr>
          <w:rFonts w:cs="Arial"/>
        </w:rPr>
      </w:pPr>
      <w:r w:rsidRPr="00307106">
        <w:rPr>
          <w:rFonts w:cs="Arial"/>
        </w:rPr>
        <w:t>Výrobce/dodavatel:</w:t>
      </w:r>
      <w:r w:rsidRPr="00307106">
        <w:rPr>
          <w:rFonts w:cs="Arial"/>
        </w:rPr>
        <w:tab/>
        <w:t xml:space="preserve">NAFAB Foams GmbH </w:t>
      </w:r>
      <w:r w:rsidR="000D54EB" w:rsidRPr="00307106">
        <w:rPr>
          <w:rFonts w:cs="Arial"/>
        </w:rPr>
        <w:t>Ulice</w:t>
      </w:r>
      <w:r w:rsidRPr="00307106">
        <w:rPr>
          <w:rFonts w:cs="Arial"/>
        </w:rPr>
        <w:t>/P</w:t>
      </w:r>
      <w:r w:rsidR="000D54EB" w:rsidRPr="00307106">
        <w:rPr>
          <w:rFonts w:cs="Arial"/>
        </w:rPr>
        <w:t>O-Box</w:t>
      </w:r>
      <w:r w:rsidRPr="00307106">
        <w:rPr>
          <w:rFonts w:cs="Arial"/>
        </w:rPr>
        <w:tab/>
        <w:t xml:space="preserve">Schwarzer Weg 7-37 </w:t>
      </w:r>
      <w:r w:rsidR="000D54EB" w:rsidRPr="00307106">
        <w:rPr>
          <w:rFonts w:cs="Arial"/>
          <w:w w:val="90"/>
        </w:rPr>
        <w:t>Znak země</w:t>
      </w:r>
      <w:r w:rsidRPr="00307106">
        <w:rPr>
          <w:rFonts w:cs="Arial"/>
          <w:w w:val="90"/>
        </w:rPr>
        <w:t xml:space="preserve"> /P</w:t>
      </w:r>
      <w:r w:rsidR="000D54EB" w:rsidRPr="00307106">
        <w:rPr>
          <w:rFonts w:cs="Arial"/>
          <w:w w:val="90"/>
        </w:rPr>
        <w:t>SČ</w:t>
      </w:r>
      <w:r w:rsidRPr="00307106">
        <w:rPr>
          <w:rFonts w:cs="Arial"/>
          <w:w w:val="90"/>
        </w:rPr>
        <w:t>/</w:t>
      </w:r>
      <w:r w:rsidR="000D54EB" w:rsidRPr="00307106">
        <w:rPr>
          <w:rFonts w:cs="Arial"/>
          <w:w w:val="90"/>
        </w:rPr>
        <w:t>místo</w:t>
      </w:r>
      <w:r w:rsidRPr="00307106">
        <w:rPr>
          <w:rFonts w:cs="Arial"/>
        </w:rPr>
        <w:tab/>
        <w:t>D-53227 Bonn Telefon:</w:t>
      </w:r>
      <w:r w:rsidRPr="00307106">
        <w:rPr>
          <w:rFonts w:cs="Arial"/>
        </w:rPr>
        <w:tab/>
        <w:t>+49 (0)228 85054 130</w:t>
      </w:r>
    </w:p>
    <w:p w14:paraId="622D314C" w14:textId="77777777" w:rsidR="007E7B1D" w:rsidRPr="00307106" w:rsidRDefault="0054654B">
      <w:pPr>
        <w:pStyle w:val="Zkladntext"/>
        <w:tabs>
          <w:tab w:val="left" w:pos="3092"/>
        </w:tabs>
        <w:ind w:left="968" w:right="3474"/>
        <w:rPr>
          <w:rFonts w:cs="Arial"/>
        </w:rPr>
      </w:pPr>
      <w:r w:rsidRPr="00307106">
        <w:rPr>
          <w:rFonts w:cs="Arial"/>
        </w:rPr>
        <w:t>Fax:</w:t>
      </w:r>
      <w:r w:rsidRPr="00307106">
        <w:rPr>
          <w:rFonts w:cs="Arial"/>
        </w:rPr>
        <w:tab/>
        <w:t>+49 (0) 228 85054 131</w:t>
      </w:r>
    </w:p>
    <w:p w14:paraId="7AC90AAA" w14:textId="77777777" w:rsidR="007E7B1D" w:rsidRPr="00307106" w:rsidRDefault="0054654B">
      <w:pPr>
        <w:pStyle w:val="Zkladntext"/>
        <w:tabs>
          <w:tab w:val="left" w:pos="3092"/>
        </w:tabs>
        <w:spacing w:before="34"/>
        <w:ind w:left="968" w:right="3474"/>
        <w:rPr>
          <w:rFonts w:cs="Arial"/>
        </w:rPr>
      </w:pPr>
      <w:r w:rsidRPr="00307106">
        <w:rPr>
          <w:rFonts w:cs="Arial"/>
        </w:rPr>
        <w:t>Email:</w:t>
      </w:r>
      <w:r w:rsidRPr="00307106">
        <w:rPr>
          <w:rFonts w:cs="Arial"/>
        </w:rPr>
        <w:tab/>
      </w:r>
      <w:hyperlink r:id="rId8">
        <w:r w:rsidRPr="00307106">
          <w:rPr>
            <w:rFonts w:cs="Arial"/>
          </w:rPr>
          <w:t>info@nafab-foams.de</w:t>
        </w:r>
      </w:hyperlink>
    </w:p>
    <w:p w14:paraId="0DAB1598" w14:textId="77777777" w:rsidR="007E7B1D" w:rsidRPr="00307106" w:rsidRDefault="007E7B1D">
      <w:pPr>
        <w:spacing w:before="3"/>
        <w:rPr>
          <w:rFonts w:ascii="Arial" w:eastAsia="Arial" w:hAnsi="Arial" w:cs="Arial"/>
          <w:sz w:val="20"/>
          <w:szCs w:val="20"/>
        </w:rPr>
      </w:pPr>
    </w:p>
    <w:p w14:paraId="7768292E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5"/>
        </w:tabs>
        <w:ind w:left="474" w:right="3474" w:hanging="358"/>
        <w:rPr>
          <w:rFonts w:cs="Arial"/>
          <w:b w:val="0"/>
          <w:bCs w:val="0"/>
        </w:rPr>
      </w:pPr>
      <w:r w:rsidRPr="00307106">
        <w:rPr>
          <w:rFonts w:cs="Arial"/>
        </w:rPr>
        <w:t>Možná nebezpečí</w:t>
      </w:r>
    </w:p>
    <w:p w14:paraId="7200B60E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20552A1A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6"/>
        </w:tabs>
        <w:spacing w:line="403" w:lineRule="auto"/>
        <w:ind w:right="3001" w:hanging="49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 xml:space="preserve">Klasifikace výrobku v souladu s nařízením (EG) </w:t>
      </w:r>
      <w:r w:rsidR="000D54EB" w:rsidRPr="00307106">
        <w:rPr>
          <w:rFonts w:ascii="Arial" w:hAnsi="Arial" w:cs="Arial"/>
          <w:sz w:val="20"/>
        </w:rPr>
        <w:t>č</w:t>
      </w:r>
      <w:r w:rsidRPr="00307106">
        <w:rPr>
          <w:rFonts w:ascii="Arial" w:hAnsi="Arial" w:cs="Arial"/>
          <w:sz w:val="20"/>
        </w:rPr>
        <w:t xml:space="preserve">. 1272 / 2008 [CLP]. Podle kritérií GHS výrobek nevyžaduje klasifikaci </w:t>
      </w:r>
    </w:p>
    <w:p w14:paraId="7E3CFA63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spacing w:before="8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Prvky značení</w:t>
      </w:r>
    </w:p>
    <w:p w14:paraId="045EAB18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3ED66666" w14:textId="77777777" w:rsidR="007E7B1D" w:rsidRPr="00307106" w:rsidRDefault="0054654B">
      <w:pPr>
        <w:pStyle w:val="Zkladntext"/>
        <w:ind w:left="968" w:right="3474"/>
        <w:rPr>
          <w:rFonts w:cs="Arial"/>
        </w:rPr>
      </w:pPr>
      <w:r w:rsidRPr="00307106">
        <w:rPr>
          <w:rFonts w:cs="Arial"/>
        </w:rPr>
        <w:t>Podle kritérií GHS výrobek nepodléhá povinnosti značení.</w:t>
      </w:r>
    </w:p>
    <w:p w14:paraId="4223371D" w14:textId="77777777" w:rsidR="007E7B1D" w:rsidRPr="00307106" w:rsidRDefault="007E7B1D">
      <w:pPr>
        <w:spacing w:before="3"/>
        <w:rPr>
          <w:rFonts w:ascii="Arial" w:eastAsia="Arial" w:hAnsi="Arial" w:cs="Arial"/>
          <w:sz w:val="20"/>
          <w:szCs w:val="20"/>
        </w:rPr>
      </w:pPr>
    </w:p>
    <w:p w14:paraId="5C062821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6"/>
        </w:tabs>
        <w:ind w:left="966"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Jiná nebezpečí</w:t>
      </w:r>
    </w:p>
    <w:p w14:paraId="733E5699" w14:textId="77777777" w:rsidR="007E7B1D" w:rsidRPr="00307106" w:rsidRDefault="0054654B">
      <w:pPr>
        <w:pStyle w:val="Zkladntext"/>
        <w:spacing w:before="34" w:line="278" w:lineRule="auto"/>
        <w:ind w:left="968" w:right="1454"/>
        <w:rPr>
          <w:rFonts w:cs="Arial"/>
        </w:rPr>
      </w:pPr>
      <w:r w:rsidRPr="00307106">
        <w:rPr>
          <w:rFonts w:cs="Arial"/>
        </w:rPr>
        <w:t>Při použití v souladu s předmětem určení tento výrobek nepředstavuje žádné zvláštní nebezpečí pro člověka a životní prostředí.</w:t>
      </w:r>
    </w:p>
    <w:p w14:paraId="398D18E7" w14:textId="77777777" w:rsidR="007E7B1D" w:rsidRPr="00307106" w:rsidRDefault="007E7B1D">
      <w:pPr>
        <w:spacing w:before="11"/>
        <w:rPr>
          <w:rFonts w:ascii="Arial" w:eastAsia="Arial" w:hAnsi="Arial" w:cs="Arial"/>
          <w:sz w:val="16"/>
          <w:szCs w:val="16"/>
        </w:rPr>
      </w:pPr>
    </w:p>
    <w:p w14:paraId="7501305A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Klasifikace látky nebo směsi</w:t>
      </w:r>
    </w:p>
    <w:p w14:paraId="49A8F61D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1F69577" w14:textId="77777777" w:rsidR="007E7B1D" w:rsidRPr="00307106" w:rsidRDefault="000D54EB">
      <w:pPr>
        <w:pStyle w:val="Zkladntext"/>
        <w:tabs>
          <w:tab w:val="left" w:pos="1959"/>
        </w:tabs>
        <w:ind w:right="3474"/>
        <w:rPr>
          <w:rFonts w:cs="Arial"/>
        </w:rPr>
      </w:pPr>
      <w:r w:rsidRPr="00307106">
        <w:rPr>
          <w:rFonts w:cs="Arial"/>
        </w:rPr>
        <w:t>Název</w:t>
      </w:r>
      <w:r w:rsidR="0054654B" w:rsidRPr="00307106">
        <w:rPr>
          <w:rFonts w:cs="Arial"/>
        </w:rPr>
        <w:t>:</w:t>
      </w:r>
      <w:r w:rsidR="0054654B" w:rsidRPr="00307106">
        <w:rPr>
          <w:rFonts w:cs="Arial"/>
        </w:rPr>
        <w:tab/>
        <w:t>Expandovaný polystyren</w:t>
      </w:r>
    </w:p>
    <w:p w14:paraId="1BD0FBC1" w14:textId="77777777" w:rsidR="007E7B1D" w:rsidRPr="00307106" w:rsidRDefault="0054654B">
      <w:pPr>
        <w:pStyle w:val="Zkladntext"/>
        <w:tabs>
          <w:tab w:val="left" w:pos="1959"/>
        </w:tabs>
        <w:spacing w:before="34" w:line="276" w:lineRule="auto"/>
        <w:ind w:left="1959" w:right="2332" w:hanging="1416"/>
        <w:rPr>
          <w:rFonts w:cs="Arial"/>
        </w:rPr>
      </w:pPr>
      <w:r w:rsidRPr="00307106">
        <w:rPr>
          <w:rFonts w:cs="Arial"/>
        </w:rPr>
        <w:t>Synonyma:</w:t>
      </w:r>
      <w:r w:rsidRPr="00307106">
        <w:rPr>
          <w:rFonts w:cs="Arial"/>
        </w:rPr>
        <w:tab/>
        <w:t>Expandovaný polystyren, EPS, tuhá pěna EPS, polystyren - tuhá pěna, polystyrenová licí pěna, EPS modelová pěna</w:t>
      </w:r>
    </w:p>
    <w:p w14:paraId="3B56E8F7" w14:textId="77777777" w:rsidR="007E7B1D" w:rsidRPr="00307106" w:rsidRDefault="007E7B1D">
      <w:pPr>
        <w:spacing w:line="276" w:lineRule="auto"/>
        <w:rPr>
          <w:rFonts w:ascii="Arial" w:hAnsi="Arial" w:cs="Arial"/>
        </w:rPr>
        <w:sectPr w:rsidR="007E7B1D" w:rsidRPr="00307106">
          <w:footerReference w:type="default" r:id="rId9"/>
          <w:type w:val="continuous"/>
          <w:pgSz w:w="11910" w:h="16840"/>
          <w:pgMar w:top="0" w:right="0" w:bottom="1180" w:left="1300" w:header="708" w:footer="990" w:gutter="0"/>
          <w:pgNumType w:start="1"/>
          <w:cols w:space="708"/>
        </w:sectPr>
      </w:pPr>
    </w:p>
    <w:p w14:paraId="10341B02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9FCD5F2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3A883ED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2D9DADC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5AAE19DD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4231B5C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  <w:sectPr w:rsidR="007E7B1D" w:rsidRPr="00307106">
          <w:pgSz w:w="11910" w:h="16840"/>
          <w:pgMar w:top="0" w:right="0" w:bottom="1180" w:left="1300" w:header="0" w:footer="990" w:gutter="0"/>
          <w:cols w:space="708"/>
        </w:sectPr>
      </w:pPr>
    </w:p>
    <w:p w14:paraId="31DD7DBA" w14:textId="77777777" w:rsidR="007E7B1D" w:rsidRPr="00307106" w:rsidRDefault="007E7B1D">
      <w:pPr>
        <w:spacing w:before="6"/>
        <w:rPr>
          <w:rFonts w:ascii="Arial" w:eastAsia="Arial" w:hAnsi="Arial" w:cs="Arial"/>
          <w:sz w:val="21"/>
          <w:szCs w:val="21"/>
        </w:rPr>
      </w:pPr>
    </w:p>
    <w:p w14:paraId="192D123A" w14:textId="77777777" w:rsidR="007E7B1D" w:rsidRPr="00307106" w:rsidRDefault="0054654B">
      <w:pPr>
        <w:pStyle w:val="Zkladntext"/>
        <w:rPr>
          <w:rFonts w:cs="Arial"/>
          <w:sz w:val="18"/>
        </w:rPr>
      </w:pPr>
      <w:r w:rsidRPr="00307106">
        <w:rPr>
          <w:rFonts w:cs="Arial"/>
          <w:sz w:val="18"/>
        </w:rPr>
        <w:t>Polystyren</w:t>
      </w:r>
    </w:p>
    <w:p w14:paraId="712103C0" w14:textId="77777777" w:rsidR="007E7B1D" w:rsidRPr="00307106" w:rsidRDefault="0054654B">
      <w:pPr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</w:rPr>
        <w:br w:type="column"/>
      </w:r>
    </w:p>
    <w:p w14:paraId="1A99BDEF" w14:textId="77777777" w:rsidR="007E7B1D" w:rsidRPr="00307106" w:rsidRDefault="007E7B1D">
      <w:pPr>
        <w:spacing w:before="8"/>
        <w:rPr>
          <w:rFonts w:ascii="Arial" w:eastAsia="Arial" w:hAnsi="Arial" w:cs="Arial"/>
          <w:sz w:val="24"/>
          <w:szCs w:val="24"/>
        </w:rPr>
      </w:pPr>
    </w:p>
    <w:p w14:paraId="171843EE" w14:textId="0BB56DD7" w:rsidR="007E7B1D" w:rsidRPr="00307106" w:rsidRDefault="00BB4F53">
      <w:pPr>
        <w:pStyle w:val="Zkladntext"/>
        <w:spacing w:line="276" w:lineRule="auto"/>
        <w:ind w:left="511" w:right="6378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1048" behindDoc="0" locked="0" layoutInCell="1" allowOverlap="1" wp14:anchorId="7C09E16B" wp14:editId="75B068E7">
            <wp:simplePos x="0" y="0"/>
            <wp:positionH relativeFrom="page">
              <wp:posOffset>4683760</wp:posOffset>
            </wp:positionH>
            <wp:positionV relativeFrom="paragraph">
              <wp:posOffset>-1068070</wp:posOffset>
            </wp:positionV>
            <wp:extent cx="2872105" cy="108966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cs="Arial"/>
        </w:rPr>
        <w:t>Obsah (W/W) &gt; 98 %, číslo CAS: 9003-53-6</w:t>
      </w:r>
    </w:p>
    <w:p w14:paraId="18F2CD97" w14:textId="77777777" w:rsidR="007E7B1D" w:rsidRPr="00307106" w:rsidRDefault="0054654B">
      <w:pPr>
        <w:pStyle w:val="Zkladntext"/>
        <w:spacing w:line="276" w:lineRule="auto"/>
        <w:ind w:left="511" w:right="6823"/>
        <w:rPr>
          <w:rFonts w:cs="Arial"/>
        </w:rPr>
      </w:pPr>
      <w:r w:rsidRPr="00307106">
        <w:rPr>
          <w:rFonts w:cs="Arial"/>
        </w:rPr>
        <w:t>Číslo ES: vypuštění Věty H: vypuštěny</w:t>
      </w:r>
    </w:p>
    <w:p w14:paraId="35C5E250" w14:textId="77777777" w:rsidR="007E7B1D" w:rsidRPr="00307106" w:rsidRDefault="007E7B1D">
      <w:pPr>
        <w:spacing w:line="276" w:lineRule="auto"/>
        <w:rPr>
          <w:rFonts w:ascii="Arial" w:hAnsi="Arial" w:cs="Arial"/>
        </w:rPr>
        <w:sectPr w:rsidR="007E7B1D" w:rsidRPr="00307106">
          <w:type w:val="continuous"/>
          <w:pgSz w:w="11910" w:h="16840"/>
          <w:pgMar w:top="0" w:right="0" w:bottom="1180" w:left="1300" w:header="708" w:footer="708" w:gutter="0"/>
          <w:cols w:num="2" w:space="708" w:equalWidth="0">
            <w:col w:w="1409" w:space="40"/>
            <w:col w:w="9161"/>
          </w:cols>
        </w:sectPr>
      </w:pPr>
    </w:p>
    <w:p w14:paraId="0387E358" w14:textId="77777777" w:rsidR="007E7B1D" w:rsidRPr="00307106" w:rsidRDefault="007E7B1D">
      <w:pPr>
        <w:spacing w:before="2"/>
        <w:rPr>
          <w:rFonts w:ascii="Arial" w:eastAsia="Arial" w:hAnsi="Arial" w:cs="Arial"/>
          <w:sz w:val="11"/>
          <w:szCs w:val="11"/>
        </w:rPr>
      </w:pPr>
    </w:p>
    <w:p w14:paraId="0F295700" w14:textId="77777777" w:rsidR="007E7B1D" w:rsidRPr="00307106" w:rsidRDefault="0054654B">
      <w:pPr>
        <w:pStyle w:val="Zkladntext"/>
        <w:spacing w:before="74"/>
        <w:ind w:right="3474"/>
        <w:rPr>
          <w:rFonts w:cs="Arial"/>
        </w:rPr>
      </w:pPr>
      <w:r w:rsidRPr="00307106">
        <w:rPr>
          <w:rFonts w:cs="Arial"/>
        </w:rPr>
        <w:t>Pentan / Izopentan</w:t>
      </w:r>
    </w:p>
    <w:p w14:paraId="3FFB5F09" w14:textId="77777777" w:rsidR="007E7B1D" w:rsidRPr="00307106" w:rsidRDefault="0054654B">
      <w:pPr>
        <w:pStyle w:val="Zkladntext"/>
        <w:spacing w:before="34"/>
        <w:ind w:left="1959" w:right="3474"/>
        <w:rPr>
          <w:rFonts w:cs="Arial"/>
        </w:rPr>
      </w:pPr>
      <w:r w:rsidRPr="00307106">
        <w:rPr>
          <w:rFonts w:cs="Arial"/>
        </w:rPr>
        <w:t>Obsah (W/W) &lt; 2 %</w:t>
      </w:r>
    </w:p>
    <w:p w14:paraId="2979B36A" w14:textId="77777777" w:rsidR="007E7B1D" w:rsidRPr="00307106" w:rsidRDefault="0054654B">
      <w:pPr>
        <w:pStyle w:val="Zkladntext"/>
        <w:spacing w:before="34"/>
        <w:ind w:left="1959" w:right="3474"/>
        <w:rPr>
          <w:rFonts w:cs="Arial"/>
        </w:rPr>
      </w:pPr>
      <w:r w:rsidRPr="00307106">
        <w:rPr>
          <w:rFonts w:cs="Arial"/>
        </w:rPr>
        <w:t>Index. číslo ES: 601-006-00-1</w:t>
      </w:r>
    </w:p>
    <w:p w14:paraId="3CE4A680" w14:textId="77777777" w:rsidR="000D54EB" w:rsidRDefault="0054654B" w:rsidP="000D54EB">
      <w:pPr>
        <w:pStyle w:val="Zkladntext"/>
        <w:ind w:left="541" w:right="2292" w:firstLine="1418"/>
        <w:rPr>
          <w:rFonts w:cs="Arial"/>
        </w:rPr>
      </w:pPr>
      <w:r w:rsidRPr="00307106">
        <w:rPr>
          <w:rFonts w:cs="Arial"/>
        </w:rPr>
        <w:t>Značení podle směrnic ES: F+, Xn,</w:t>
      </w:r>
      <w:r w:rsidR="000D54EB" w:rsidRPr="00307106">
        <w:rPr>
          <w:rFonts w:cs="Arial"/>
        </w:rPr>
        <w:t xml:space="preserve"> N, R 12-65-66-67-51/53 </w:t>
      </w:r>
    </w:p>
    <w:p w14:paraId="2AD450CC" w14:textId="77777777" w:rsidR="00307106" w:rsidRPr="00307106" w:rsidRDefault="00307106" w:rsidP="000D54EB">
      <w:pPr>
        <w:pStyle w:val="Zkladntext"/>
        <w:ind w:left="541" w:right="2292" w:firstLine="1418"/>
        <w:rPr>
          <w:rFonts w:cs="Arial"/>
        </w:rPr>
      </w:pPr>
    </w:p>
    <w:p w14:paraId="2E2C62D9" w14:textId="77777777" w:rsidR="007E7B1D" w:rsidRPr="00307106" w:rsidRDefault="000D54EB" w:rsidP="00307106">
      <w:pPr>
        <w:pStyle w:val="Zkladntext"/>
        <w:ind w:right="2292"/>
        <w:rPr>
          <w:rFonts w:cs="Arial"/>
        </w:rPr>
      </w:pPr>
      <w:r w:rsidRPr="00307106">
        <w:rPr>
          <w:rFonts w:cs="Arial"/>
        </w:rPr>
        <w:t xml:space="preserve">Znění R </w:t>
      </w:r>
      <w:r w:rsidR="0054654B" w:rsidRPr="00307106">
        <w:rPr>
          <w:rFonts w:cs="Arial"/>
        </w:rPr>
        <w:t>vět, viz bod: Další informace</w:t>
      </w:r>
    </w:p>
    <w:p w14:paraId="77D8F645" w14:textId="77777777" w:rsidR="000D54EB" w:rsidRPr="00307106" w:rsidRDefault="000D54EB" w:rsidP="000D54EB">
      <w:pPr>
        <w:pStyle w:val="Zkladntext"/>
        <w:ind w:left="541" w:right="2292" w:firstLine="1418"/>
        <w:rPr>
          <w:rFonts w:cs="Arial"/>
        </w:rPr>
      </w:pPr>
    </w:p>
    <w:p w14:paraId="596CB44B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spacing w:before="3"/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Opatření první pomoci</w:t>
      </w:r>
    </w:p>
    <w:p w14:paraId="3A4D8B92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4BF03036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</w:rPr>
        <w:t>Nejsou nutná žádná zvláštní opatření.</w:t>
      </w:r>
    </w:p>
    <w:p w14:paraId="58766F18" w14:textId="77777777" w:rsidR="007E7B1D" w:rsidRPr="00307106" w:rsidRDefault="007E7B1D">
      <w:pPr>
        <w:spacing w:before="1"/>
        <w:rPr>
          <w:rFonts w:ascii="Arial" w:eastAsia="Arial" w:hAnsi="Arial" w:cs="Arial"/>
          <w:sz w:val="20"/>
          <w:szCs w:val="20"/>
        </w:rPr>
      </w:pPr>
    </w:p>
    <w:p w14:paraId="5290BFA3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5"/>
        </w:tabs>
        <w:ind w:left="474" w:right="3474" w:hanging="358"/>
        <w:rPr>
          <w:rFonts w:cs="Arial"/>
          <w:b w:val="0"/>
          <w:bCs w:val="0"/>
        </w:rPr>
      </w:pPr>
      <w:r w:rsidRPr="00307106">
        <w:rPr>
          <w:rFonts w:cs="Arial"/>
        </w:rPr>
        <w:t>Opatření k potlačování požáru</w:t>
      </w:r>
    </w:p>
    <w:p w14:paraId="1614BAD7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34508FCA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Hasiva</w:t>
      </w:r>
    </w:p>
    <w:p w14:paraId="11A90F61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1DBFAB4C" w14:textId="77777777" w:rsidR="000D54EB" w:rsidRPr="00307106" w:rsidRDefault="0054654B">
      <w:pPr>
        <w:pStyle w:val="Zkladntext"/>
        <w:spacing w:line="276" w:lineRule="auto"/>
        <w:ind w:left="968" w:right="3474"/>
        <w:rPr>
          <w:rFonts w:cs="Arial"/>
        </w:rPr>
      </w:pPr>
      <w:r w:rsidRPr="00307106">
        <w:rPr>
          <w:rFonts w:cs="Arial"/>
        </w:rPr>
        <w:t xml:space="preserve">Vhodná hasiva: Vodní mlha, pěna, suché hasicí prostředky </w:t>
      </w:r>
    </w:p>
    <w:p w14:paraId="5D1B38C8" w14:textId="77777777" w:rsidR="000D54EB" w:rsidRPr="00307106" w:rsidRDefault="0054654B">
      <w:pPr>
        <w:pStyle w:val="Zkladntext"/>
        <w:spacing w:line="276" w:lineRule="auto"/>
        <w:ind w:left="968" w:right="3474"/>
        <w:rPr>
          <w:rFonts w:cs="Arial"/>
        </w:rPr>
      </w:pPr>
      <w:r w:rsidRPr="00307106">
        <w:rPr>
          <w:rFonts w:cs="Arial"/>
        </w:rPr>
        <w:t xml:space="preserve">Z bezpečnostních důvodů nevhodné hasicí prostředky: </w:t>
      </w:r>
    </w:p>
    <w:p w14:paraId="785E3701" w14:textId="77777777" w:rsidR="007E7B1D" w:rsidRPr="00307106" w:rsidRDefault="0054654B">
      <w:pPr>
        <w:pStyle w:val="Zkladntext"/>
        <w:spacing w:line="276" w:lineRule="auto"/>
        <w:ind w:left="968" w:right="3474"/>
        <w:rPr>
          <w:rFonts w:cs="Arial"/>
        </w:rPr>
      </w:pPr>
      <w:r w:rsidRPr="00307106">
        <w:rPr>
          <w:rFonts w:cs="Arial"/>
        </w:rPr>
        <w:t>Přímý proud vody</w:t>
      </w:r>
    </w:p>
    <w:p w14:paraId="51712636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7CD3C167" w14:textId="77777777" w:rsidR="007E7B1D" w:rsidRPr="00307106" w:rsidRDefault="0054654B" w:rsidP="000D54EB">
      <w:pPr>
        <w:pStyle w:val="Odstavecseseznamem"/>
        <w:numPr>
          <w:ilvl w:val="1"/>
          <w:numId w:val="5"/>
        </w:numPr>
        <w:tabs>
          <w:tab w:val="left" w:pos="969"/>
        </w:tabs>
        <w:spacing w:line="484" w:lineRule="auto"/>
        <w:ind w:right="4373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Zvláštní nebezpečí plynoucí z výrobku</w:t>
      </w:r>
      <w:r w:rsidRPr="00307106">
        <w:rPr>
          <w:rFonts w:ascii="Arial" w:hAnsi="Arial" w:cs="Arial"/>
          <w:sz w:val="20"/>
        </w:rPr>
        <w:br/>
        <w:t>Při požáru může výrobek uvolňovat následující produkty:</w:t>
      </w:r>
    </w:p>
    <w:p w14:paraId="62AF79D0" w14:textId="77777777" w:rsidR="007E7B1D" w:rsidRPr="00307106" w:rsidRDefault="0054654B">
      <w:pPr>
        <w:pStyle w:val="Zkladntext"/>
        <w:spacing w:before="5" w:line="276" w:lineRule="auto"/>
        <w:ind w:left="968" w:right="1449"/>
        <w:jc w:val="both"/>
        <w:rPr>
          <w:rFonts w:cs="Arial"/>
        </w:rPr>
      </w:pPr>
      <w:r w:rsidRPr="00307106">
        <w:rPr>
          <w:rFonts w:cs="Arial"/>
        </w:rPr>
        <w:t>Výrobek je hořlavý. V případě požáru může dojít k tvorbě ne</w:t>
      </w:r>
      <w:r w:rsidR="000D54EB" w:rsidRPr="00307106">
        <w:rPr>
          <w:rFonts w:cs="Arial"/>
        </w:rPr>
        <w:t xml:space="preserve">bezpečných zplodin hoření nebo </w:t>
      </w:r>
      <w:r w:rsidRPr="00307106">
        <w:rPr>
          <w:rFonts w:cs="Arial"/>
        </w:rPr>
        <w:t>plynů. Saze, oxid uhličitý, oxid uhelnatý, styren, bromovodík, alifatické uhlovodíky, plyny těžší než vzduch.</w:t>
      </w:r>
    </w:p>
    <w:p w14:paraId="00E101E6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53128628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Pokyny pro potlačování požáru</w:t>
      </w:r>
    </w:p>
    <w:p w14:paraId="08B18FD1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1EE6F75B" w14:textId="77777777" w:rsidR="007E7B1D" w:rsidRPr="00307106" w:rsidRDefault="0054654B">
      <w:pPr>
        <w:pStyle w:val="Zkladntext"/>
        <w:spacing w:line="276" w:lineRule="auto"/>
        <w:ind w:left="968" w:right="1454"/>
        <w:rPr>
          <w:rFonts w:cs="Arial"/>
        </w:rPr>
      </w:pPr>
      <w:r w:rsidRPr="00307106">
        <w:rPr>
          <w:rFonts w:cs="Arial"/>
        </w:rPr>
        <w:t>Pobyt v nebezpečné oblasti je povolen pouze s úplným ochranným oděvem a o</w:t>
      </w:r>
      <w:r w:rsidR="000D54EB" w:rsidRPr="00307106">
        <w:rPr>
          <w:rFonts w:cs="Arial"/>
        </w:rPr>
        <w:t xml:space="preserve">chranným </w:t>
      </w:r>
      <w:r w:rsidRPr="00307106">
        <w:rPr>
          <w:rFonts w:cs="Arial"/>
        </w:rPr>
        <w:t>dýchací</w:t>
      </w:r>
      <w:r w:rsidR="000D54EB" w:rsidRPr="00307106">
        <w:rPr>
          <w:rFonts w:cs="Arial"/>
        </w:rPr>
        <w:t>m</w:t>
      </w:r>
      <w:r w:rsidRPr="00307106">
        <w:rPr>
          <w:rFonts w:cs="Arial"/>
        </w:rPr>
        <w:t xml:space="preserve"> přístroj nezávislým na vzduchu prostředí</w:t>
      </w:r>
    </w:p>
    <w:p w14:paraId="1DAC1AE7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6E90D646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5"/>
        </w:tabs>
        <w:ind w:left="474" w:right="3474" w:hanging="358"/>
        <w:rPr>
          <w:rFonts w:cs="Arial"/>
          <w:b w:val="0"/>
          <w:bCs w:val="0"/>
        </w:rPr>
      </w:pPr>
      <w:r w:rsidRPr="00307106">
        <w:rPr>
          <w:rFonts w:cs="Arial"/>
        </w:rPr>
        <w:t>Opatření v případě náhodného úniku</w:t>
      </w:r>
    </w:p>
    <w:p w14:paraId="45792AC6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546AC4C5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</w:rPr>
        <w:t>Žádné informace</w:t>
      </w:r>
    </w:p>
    <w:p w14:paraId="1F0BA76A" w14:textId="77777777" w:rsidR="007E7B1D" w:rsidRPr="00307106" w:rsidRDefault="007E7B1D">
      <w:pPr>
        <w:spacing w:before="3"/>
        <w:rPr>
          <w:rFonts w:ascii="Arial" w:eastAsia="Arial" w:hAnsi="Arial" w:cs="Arial"/>
          <w:sz w:val="20"/>
          <w:szCs w:val="20"/>
        </w:rPr>
      </w:pPr>
    </w:p>
    <w:p w14:paraId="1D224BED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5"/>
        </w:tabs>
        <w:ind w:left="474" w:right="3474" w:hanging="358"/>
        <w:rPr>
          <w:rFonts w:cs="Arial"/>
          <w:b w:val="0"/>
          <w:bCs w:val="0"/>
        </w:rPr>
      </w:pPr>
      <w:r w:rsidRPr="00307106">
        <w:rPr>
          <w:rFonts w:cs="Arial"/>
        </w:rPr>
        <w:t>Manipulace a skladování</w:t>
      </w:r>
    </w:p>
    <w:p w14:paraId="47C78256" w14:textId="77777777" w:rsidR="007E7B1D" w:rsidRPr="00307106" w:rsidRDefault="0054654B" w:rsidP="00307106">
      <w:pPr>
        <w:pStyle w:val="Odstavecseseznamem"/>
        <w:numPr>
          <w:ilvl w:val="1"/>
          <w:numId w:val="5"/>
        </w:numPr>
        <w:tabs>
          <w:tab w:val="left" w:pos="969"/>
        </w:tabs>
        <w:spacing w:before="5" w:line="460" w:lineRule="atLeast"/>
        <w:ind w:right="5081" w:hanging="432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Bez</w:t>
      </w:r>
      <w:r w:rsidR="00307106">
        <w:rPr>
          <w:rFonts w:ascii="Arial" w:hAnsi="Arial" w:cs="Arial"/>
          <w:sz w:val="20"/>
        </w:rPr>
        <w:t xml:space="preserve">pečnostní opatření pro bezpečné </w:t>
      </w:r>
      <w:r w:rsidRPr="00307106">
        <w:rPr>
          <w:rFonts w:ascii="Arial" w:hAnsi="Arial" w:cs="Arial"/>
          <w:sz w:val="20"/>
        </w:rPr>
        <w:t>zacházení</w:t>
      </w:r>
      <w:r w:rsidRPr="00307106">
        <w:rPr>
          <w:rFonts w:ascii="Arial" w:hAnsi="Arial" w:cs="Arial"/>
          <w:sz w:val="20"/>
        </w:rPr>
        <w:br/>
        <w:t>Pokyny pro bezpečné zacházení</w:t>
      </w:r>
    </w:p>
    <w:p w14:paraId="4BE002C5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154"/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V oblastech, ve kterých se provádí práce, je zakázáno jíst, pít a kouřit</w:t>
      </w:r>
    </w:p>
    <w:p w14:paraId="6BD71E20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34"/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Po použití je nutné si umýt ruce</w:t>
      </w:r>
    </w:p>
    <w:p w14:paraId="36AB944E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34"/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Zabraňte vzniku prachu; Nevdechujte prach</w:t>
      </w:r>
      <w:r w:rsidRPr="00307106">
        <w:rPr>
          <w:rFonts w:ascii="Arial" w:hAnsi="Arial" w:cs="Arial"/>
          <w:sz w:val="20"/>
        </w:rPr>
        <w:cr/>
      </w:r>
      <w:r w:rsidRPr="00307106">
        <w:rPr>
          <w:rFonts w:ascii="Arial" w:hAnsi="Arial" w:cs="Arial"/>
          <w:sz w:val="20"/>
        </w:rPr>
        <w:br/>
      </w:r>
    </w:p>
    <w:p w14:paraId="6F6556B7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34"/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Nevdechujte výpary nebo výpary horkých výrobků</w:t>
      </w:r>
    </w:p>
    <w:p w14:paraId="1DBC9747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36"/>
        <w:jc w:val="both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Při řezání tepelným drátem zajistěte dobré větrání</w:t>
      </w:r>
    </w:p>
    <w:p w14:paraId="67044EBD" w14:textId="77777777" w:rsidR="007E7B1D" w:rsidRPr="00307106" w:rsidRDefault="007E7B1D">
      <w:pPr>
        <w:jc w:val="both"/>
        <w:rPr>
          <w:rFonts w:ascii="Arial" w:eastAsia="Arial" w:hAnsi="Arial" w:cs="Arial"/>
          <w:sz w:val="20"/>
          <w:szCs w:val="20"/>
        </w:rPr>
        <w:sectPr w:rsidR="007E7B1D" w:rsidRPr="00307106">
          <w:type w:val="continuous"/>
          <w:pgSz w:w="11910" w:h="16840"/>
          <w:pgMar w:top="0" w:right="0" w:bottom="1180" w:left="1300" w:header="708" w:footer="708" w:gutter="0"/>
          <w:cols w:space="708"/>
        </w:sectPr>
      </w:pPr>
    </w:p>
    <w:p w14:paraId="2B4DA199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5C3D248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0AE2C0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24DACC4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8DA7B54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0BA3BAD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39046EC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40FD94F1" w14:textId="77777777" w:rsidR="007E7B1D" w:rsidRPr="00307106" w:rsidRDefault="007E7B1D">
      <w:pPr>
        <w:rPr>
          <w:rFonts w:ascii="Arial" w:eastAsia="Arial" w:hAnsi="Arial" w:cs="Arial"/>
        </w:rPr>
      </w:pPr>
    </w:p>
    <w:p w14:paraId="5B47A6C8" w14:textId="6BF2B5E1" w:rsidR="007E7B1D" w:rsidRPr="00307106" w:rsidRDefault="00BB4F53">
      <w:pPr>
        <w:pStyle w:val="Zkladntext"/>
        <w:ind w:left="968" w:right="3474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1072" behindDoc="0" locked="0" layoutInCell="1" allowOverlap="1" wp14:anchorId="2219C8B3" wp14:editId="0FB69EB1">
            <wp:simplePos x="0" y="0"/>
            <wp:positionH relativeFrom="page">
              <wp:posOffset>4683760</wp:posOffset>
            </wp:positionH>
            <wp:positionV relativeFrom="paragraph">
              <wp:posOffset>-1195070</wp:posOffset>
            </wp:positionV>
            <wp:extent cx="2872105" cy="10896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cs="Arial"/>
        </w:rPr>
        <w:t>Pokyny pro protipožární ochranu a ochranu před explozí:</w:t>
      </w:r>
    </w:p>
    <w:p w14:paraId="66D64090" w14:textId="77777777" w:rsidR="007E7B1D" w:rsidRPr="00307106" w:rsidRDefault="007E7B1D">
      <w:pPr>
        <w:spacing w:before="3"/>
        <w:rPr>
          <w:rFonts w:ascii="Arial" w:eastAsia="Arial" w:hAnsi="Arial" w:cs="Arial"/>
          <w:sz w:val="20"/>
          <w:szCs w:val="20"/>
        </w:rPr>
      </w:pPr>
    </w:p>
    <w:p w14:paraId="4477C275" w14:textId="77777777" w:rsidR="007E7B1D" w:rsidRPr="00307106" w:rsidRDefault="0054654B">
      <w:pPr>
        <w:pStyle w:val="Zkladntext"/>
        <w:spacing w:line="276" w:lineRule="auto"/>
        <w:ind w:left="968" w:right="1454"/>
        <w:rPr>
          <w:rFonts w:cs="Arial"/>
        </w:rPr>
      </w:pPr>
      <w:r w:rsidRPr="00307106">
        <w:rPr>
          <w:rFonts w:cs="Arial"/>
        </w:rPr>
        <w:t>Při působení větších zdrojů zap</w:t>
      </w:r>
      <w:r w:rsidR="000D54EB" w:rsidRPr="00307106">
        <w:rPr>
          <w:rFonts w:cs="Arial"/>
        </w:rPr>
        <w:t xml:space="preserve">álení, se vzniklá tavenina EPS </w:t>
      </w:r>
      <w:r w:rsidRPr="00307106">
        <w:rPr>
          <w:rFonts w:cs="Arial"/>
        </w:rPr>
        <w:t>dále ohřívá a pyrolyzuje. Výsledné plyny se vznítí a mohou tak přispět k šíření ohně.</w:t>
      </w:r>
    </w:p>
    <w:p w14:paraId="416BDCCB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62022CDD" w14:textId="77777777" w:rsidR="007E7B1D" w:rsidRPr="00307106" w:rsidRDefault="0054654B">
      <w:pPr>
        <w:pStyle w:val="Zkladntext"/>
        <w:spacing w:line="278" w:lineRule="auto"/>
        <w:ind w:left="968" w:right="1454"/>
        <w:rPr>
          <w:rFonts w:cs="Arial"/>
        </w:rPr>
      </w:pPr>
      <w:r w:rsidRPr="00307106">
        <w:rPr>
          <w:rFonts w:cs="Arial"/>
        </w:rPr>
        <w:t>Z bezpečnostních důvodů je nutné pěnu EPS udržovat v bezpečné vzdálenosti od zdrojů vznícení. Při pracích s otevřeným plamenem musí být připraven hasicí přístroj.</w:t>
      </w:r>
    </w:p>
    <w:p w14:paraId="08800151" w14:textId="77777777" w:rsidR="007E7B1D" w:rsidRPr="00307106" w:rsidRDefault="007E7B1D">
      <w:pPr>
        <w:spacing w:before="2"/>
        <w:rPr>
          <w:rFonts w:ascii="Arial" w:eastAsia="Arial" w:hAnsi="Arial" w:cs="Arial"/>
          <w:sz w:val="17"/>
          <w:szCs w:val="17"/>
        </w:rPr>
      </w:pPr>
    </w:p>
    <w:p w14:paraId="31BF2A89" w14:textId="77777777" w:rsidR="007E7B1D" w:rsidRPr="00307106" w:rsidRDefault="0054654B">
      <w:pPr>
        <w:pStyle w:val="Odstavecseseznamem"/>
        <w:numPr>
          <w:ilvl w:val="1"/>
          <w:numId w:val="5"/>
        </w:numPr>
        <w:tabs>
          <w:tab w:val="left" w:pos="969"/>
        </w:tabs>
        <w:ind w:right="1454" w:hanging="432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Podmínky pro bezpečné skladování včetně případné nekompatibility</w:t>
      </w:r>
    </w:p>
    <w:p w14:paraId="0DCFA6C2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723D23E9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  <w:szCs w:val="20"/>
        </w:rPr>
        <w:t>Dodržujte teplotu skladování &lt; 80°C</w:t>
      </w:r>
    </w:p>
    <w:p w14:paraId="2E978DC4" w14:textId="77777777" w:rsidR="007E7B1D" w:rsidRPr="00307106" w:rsidRDefault="0054654B">
      <w:pPr>
        <w:pStyle w:val="Odstavecseseznamem"/>
        <w:numPr>
          <w:ilvl w:val="2"/>
          <w:numId w:val="5"/>
        </w:numPr>
        <w:tabs>
          <w:tab w:val="left" w:pos="1250"/>
        </w:tabs>
        <w:spacing w:before="34"/>
        <w:ind w:right="145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 xml:space="preserve">Dbejte na nekompatibilitu </w:t>
      </w:r>
      <w:r w:rsidR="000D54EB" w:rsidRPr="00307106">
        <w:rPr>
          <w:rFonts w:ascii="Arial" w:hAnsi="Arial" w:cs="Arial"/>
          <w:sz w:val="20"/>
        </w:rPr>
        <w:t>s</w:t>
      </w:r>
      <w:r w:rsidRPr="00307106">
        <w:rPr>
          <w:rFonts w:ascii="Arial" w:hAnsi="Arial" w:cs="Arial"/>
          <w:sz w:val="20"/>
        </w:rPr>
        <w:t xml:space="preserve"> rozpouštědl</w:t>
      </w:r>
      <w:r w:rsidR="000D54EB" w:rsidRPr="00307106">
        <w:rPr>
          <w:rFonts w:ascii="Arial" w:hAnsi="Arial" w:cs="Arial"/>
          <w:sz w:val="20"/>
        </w:rPr>
        <w:t>y</w:t>
      </w:r>
      <w:r w:rsidRPr="00307106">
        <w:rPr>
          <w:rFonts w:ascii="Arial" w:hAnsi="Arial" w:cs="Arial"/>
          <w:sz w:val="20"/>
        </w:rPr>
        <w:t>.</w:t>
      </w:r>
    </w:p>
    <w:p w14:paraId="0726763E" w14:textId="77777777" w:rsidR="007E7B1D" w:rsidRPr="00307106" w:rsidRDefault="0054654B">
      <w:pPr>
        <w:pStyle w:val="Zkladntext"/>
        <w:spacing w:before="154"/>
        <w:ind w:left="968" w:right="1454"/>
        <w:rPr>
          <w:rFonts w:cs="Arial"/>
        </w:rPr>
      </w:pPr>
      <w:r w:rsidRPr="00307106">
        <w:rPr>
          <w:rFonts w:cs="Arial"/>
        </w:rPr>
        <w:t>Při správném skladování nejsou nutná žádná zvláštní opatření.</w:t>
      </w:r>
    </w:p>
    <w:p w14:paraId="6992DA6C" w14:textId="77777777" w:rsidR="007E7B1D" w:rsidRPr="00307106" w:rsidRDefault="007E7B1D">
      <w:pPr>
        <w:spacing w:before="4"/>
        <w:rPr>
          <w:rFonts w:ascii="Arial" w:eastAsia="Arial" w:hAnsi="Arial" w:cs="Arial"/>
          <w:sz w:val="20"/>
          <w:szCs w:val="20"/>
        </w:rPr>
      </w:pPr>
    </w:p>
    <w:p w14:paraId="41D26063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1454"/>
        <w:rPr>
          <w:rFonts w:cs="Arial"/>
          <w:b w:val="0"/>
          <w:bCs w:val="0"/>
        </w:rPr>
      </w:pPr>
      <w:r w:rsidRPr="00307106">
        <w:rPr>
          <w:rFonts w:cs="Arial"/>
        </w:rPr>
        <w:t>Omezování a sledování expozice / Osobní ochranné prostředky</w:t>
      </w:r>
    </w:p>
    <w:p w14:paraId="3EC8992C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30A8F358" w14:textId="77777777" w:rsidR="007E7B1D" w:rsidRPr="00307106" w:rsidRDefault="0054654B">
      <w:pPr>
        <w:pStyle w:val="Zkladntext"/>
        <w:spacing w:line="276" w:lineRule="auto"/>
        <w:ind w:right="1454"/>
        <w:rPr>
          <w:rFonts w:cs="Arial"/>
        </w:rPr>
      </w:pPr>
      <w:r w:rsidRPr="00307106">
        <w:rPr>
          <w:rFonts w:cs="Arial"/>
        </w:rPr>
        <w:t>Mezní hodnoty expozice v souladu s TRGS 900 AGW: Při mechanickém zpracovávání tuhých pěn EPS, jako je frézování nebo broušení, je třeba dodržovat následující obecné mezní hodnoty prachu.</w:t>
      </w:r>
    </w:p>
    <w:p w14:paraId="5C8C3FF3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0B7E23F9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</w:rPr>
        <w:t>Obecný prachový limit:</w:t>
      </w:r>
    </w:p>
    <w:p w14:paraId="0136C102" w14:textId="77777777" w:rsidR="007E7B1D" w:rsidRPr="00307106" w:rsidRDefault="007E7B1D">
      <w:pPr>
        <w:spacing w:before="4"/>
        <w:rPr>
          <w:rFonts w:ascii="Arial" w:eastAsia="Arial" w:hAnsi="Arial" w:cs="Arial"/>
          <w:sz w:val="20"/>
          <w:szCs w:val="20"/>
        </w:rPr>
      </w:pPr>
    </w:p>
    <w:p w14:paraId="2C970A06" w14:textId="77777777" w:rsidR="007E7B1D" w:rsidRPr="00307106" w:rsidRDefault="0054654B">
      <w:pPr>
        <w:pStyle w:val="Odstavecseseznamem"/>
        <w:numPr>
          <w:ilvl w:val="0"/>
          <w:numId w:val="4"/>
        </w:numPr>
        <w:tabs>
          <w:tab w:val="left" w:pos="1264"/>
          <w:tab w:val="left" w:pos="3944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Alveolární frakce:</w:t>
      </w:r>
      <w:r w:rsidRPr="00307106">
        <w:rPr>
          <w:rFonts w:ascii="Arial" w:hAnsi="Arial" w:cs="Arial"/>
          <w:sz w:val="20"/>
        </w:rPr>
        <w:tab/>
        <w:t>3 mg/m³</w:t>
      </w:r>
    </w:p>
    <w:p w14:paraId="396846AC" w14:textId="77777777" w:rsidR="007E7B1D" w:rsidRPr="00307106" w:rsidRDefault="0054654B">
      <w:pPr>
        <w:pStyle w:val="Odstavecseseznamem"/>
        <w:numPr>
          <w:ilvl w:val="0"/>
          <w:numId w:val="4"/>
        </w:numPr>
        <w:tabs>
          <w:tab w:val="left" w:pos="1264"/>
          <w:tab w:val="left" w:pos="3944"/>
        </w:tabs>
        <w:spacing w:before="35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Inhalovatelná frakce:</w:t>
      </w:r>
      <w:r w:rsidRPr="00307106">
        <w:rPr>
          <w:rFonts w:ascii="Arial" w:hAnsi="Arial" w:cs="Arial"/>
          <w:sz w:val="20"/>
        </w:rPr>
        <w:tab/>
        <w:t>10 mg/m³</w:t>
      </w:r>
    </w:p>
    <w:p w14:paraId="706C0631" w14:textId="77777777" w:rsidR="007E7B1D" w:rsidRPr="00307106" w:rsidRDefault="0054654B">
      <w:pPr>
        <w:pStyle w:val="Odstavecseseznamem"/>
        <w:numPr>
          <w:ilvl w:val="0"/>
          <w:numId w:val="4"/>
        </w:numPr>
        <w:tabs>
          <w:tab w:val="left" w:pos="1264"/>
          <w:tab w:val="left" w:pos="3944"/>
        </w:tabs>
        <w:spacing w:before="35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Omezení špiček:</w:t>
      </w:r>
      <w:r w:rsidRPr="00307106">
        <w:rPr>
          <w:rFonts w:ascii="Arial" w:hAnsi="Arial" w:cs="Arial"/>
          <w:sz w:val="20"/>
        </w:rPr>
        <w:tab/>
        <w:t>Faktor překročení 2(II)</w:t>
      </w:r>
    </w:p>
    <w:p w14:paraId="7B3675E4" w14:textId="77777777" w:rsidR="007E7B1D" w:rsidRPr="00307106" w:rsidRDefault="007E7B1D">
      <w:pPr>
        <w:spacing w:before="2"/>
        <w:rPr>
          <w:rFonts w:ascii="Arial" w:eastAsia="Arial" w:hAnsi="Arial" w:cs="Arial"/>
          <w:sz w:val="20"/>
          <w:szCs w:val="20"/>
        </w:rPr>
      </w:pPr>
    </w:p>
    <w:p w14:paraId="7355A1D6" w14:textId="77777777" w:rsidR="007E7B1D" w:rsidRPr="00307106" w:rsidRDefault="0054654B">
      <w:pPr>
        <w:pStyle w:val="Zkladntext"/>
        <w:spacing w:line="276" w:lineRule="auto"/>
        <w:ind w:right="1454"/>
        <w:rPr>
          <w:rFonts w:cs="Arial"/>
        </w:rPr>
      </w:pPr>
      <w:r w:rsidRPr="00307106">
        <w:rPr>
          <w:rFonts w:cs="Arial"/>
        </w:rPr>
        <w:t>Mezní hodnoty na pracovišti uvedené pod 8a)  8b) pro pentan a styren</w:t>
      </w:r>
      <w:r w:rsidR="000D54EB" w:rsidRPr="00307106">
        <w:rPr>
          <w:rFonts w:cs="Arial"/>
        </w:rPr>
        <w:t xml:space="preserve"> jsou předepsané hodnoty pro </w:t>
      </w:r>
      <w:r w:rsidRPr="00307106">
        <w:rPr>
          <w:rFonts w:cs="Arial"/>
        </w:rPr>
        <w:t>pentan a styren. To znamená, že je tyto hodnoty nutné zohlednit ve vztahu k výrobě desek. V tomto informačním listu slouží pouze k doplnění informací.</w:t>
      </w:r>
    </w:p>
    <w:p w14:paraId="372E923E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10AD25F9" w14:textId="77777777" w:rsidR="007E7B1D" w:rsidRPr="00307106" w:rsidRDefault="0054654B">
      <w:pPr>
        <w:pStyle w:val="Odstavecseseznamem"/>
        <w:numPr>
          <w:ilvl w:val="0"/>
          <w:numId w:val="3"/>
        </w:numPr>
        <w:tabs>
          <w:tab w:val="left" w:pos="904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Pentan / Izopentan</w:t>
      </w:r>
    </w:p>
    <w:p w14:paraId="5D9685F1" w14:textId="77777777" w:rsidR="007E7B1D" w:rsidRPr="005179AE" w:rsidRDefault="0054654B" w:rsidP="005179AE">
      <w:pPr>
        <w:pStyle w:val="Odstavecseseznamem"/>
        <w:numPr>
          <w:ilvl w:val="1"/>
          <w:numId w:val="3"/>
        </w:numPr>
        <w:tabs>
          <w:tab w:val="left" w:pos="1264"/>
          <w:tab w:val="left" w:pos="3944"/>
        </w:tabs>
        <w:spacing w:before="37"/>
        <w:ind w:right="3474"/>
        <w:rPr>
          <w:rFonts w:ascii="Arial" w:hAnsi="Arial" w:cs="Arial"/>
          <w:sz w:val="20"/>
        </w:rPr>
      </w:pPr>
      <w:r w:rsidRPr="005179AE">
        <w:rPr>
          <w:rFonts w:ascii="Arial" w:hAnsi="Arial" w:cs="Arial"/>
          <w:sz w:val="20"/>
        </w:rPr>
        <w:t>AGW:</w:t>
      </w:r>
      <w:r w:rsidRPr="005179AE">
        <w:rPr>
          <w:rFonts w:ascii="Arial" w:hAnsi="Arial" w:cs="Arial"/>
          <w:sz w:val="20"/>
        </w:rPr>
        <w:tab/>
        <w:t>1000 ml/m³</w:t>
      </w:r>
    </w:p>
    <w:p w14:paraId="729D4923" w14:textId="77777777" w:rsidR="007E7B1D" w:rsidRPr="00307106" w:rsidRDefault="0054654B">
      <w:pPr>
        <w:pStyle w:val="Zkladntext"/>
        <w:spacing w:before="39"/>
        <w:ind w:left="3928" w:right="5573"/>
        <w:jc w:val="center"/>
        <w:rPr>
          <w:rFonts w:cs="Arial"/>
        </w:rPr>
      </w:pPr>
      <w:r w:rsidRPr="00307106">
        <w:rPr>
          <w:rFonts w:cs="Arial"/>
        </w:rPr>
        <w:t>3000 mg/m³</w:t>
      </w:r>
    </w:p>
    <w:p w14:paraId="170BB4B6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  <w:tab w:val="left" w:pos="3944"/>
        </w:tabs>
        <w:spacing w:before="37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Omezení špiček:</w:t>
      </w:r>
      <w:r w:rsidRPr="00307106">
        <w:rPr>
          <w:rFonts w:ascii="Arial" w:hAnsi="Arial" w:cs="Arial"/>
          <w:sz w:val="20"/>
        </w:rPr>
        <w:tab/>
        <w:t>Faktor překročení 2(II)</w:t>
      </w:r>
    </w:p>
    <w:p w14:paraId="37205A4C" w14:textId="77777777" w:rsidR="007E7B1D" w:rsidRPr="00307106" w:rsidRDefault="0054654B">
      <w:pPr>
        <w:pStyle w:val="Odstavecseseznamem"/>
        <w:numPr>
          <w:ilvl w:val="0"/>
          <w:numId w:val="3"/>
        </w:numPr>
        <w:tabs>
          <w:tab w:val="left" w:pos="904"/>
        </w:tabs>
        <w:spacing w:before="39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Styren</w:t>
      </w:r>
    </w:p>
    <w:p w14:paraId="6F34E794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2"/>
          <w:tab w:val="left" w:pos="3944"/>
        </w:tabs>
        <w:spacing w:before="32"/>
        <w:ind w:left="1261" w:right="3474" w:hanging="358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AGW:</w:t>
      </w:r>
      <w:r w:rsidRPr="00307106">
        <w:rPr>
          <w:rFonts w:ascii="Arial" w:hAnsi="Arial" w:cs="Arial"/>
          <w:sz w:val="20"/>
        </w:rPr>
        <w:tab/>
        <w:t>20 ml/m³</w:t>
      </w:r>
    </w:p>
    <w:p w14:paraId="5BA50E07" w14:textId="77777777" w:rsidR="007E7B1D" w:rsidRPr="00307106" w:rsidRDefault="0054654B">
      <w:pPr>
        <w:pStyle w:val="Zkladntext"/>
        <w:spacing w:before="39"/>
        <w:ind w:left="3706" w:right="5574"/>
        <w:jc w:val="center"/>
        <w:rPr>
          <w:rFonts w:cs="Arial"/>
        </w:rPr>
      </w:pPr>
      <w:r w:rsidRPr="00307106">
        <w:rPr>
          <w:rFonts w:cs="Arial"/>
        </w:rPr>
        <w:t>86 mg/m³</w:t>
      </w:r>
    </w:p>
    <w:p w14:paraId="661806B8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  <w:tab w:val="left" w:pos="3944"/>
        </w:tabs>
        <w:spacing w:before="37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Omezení špiček:</w:t>
      </w:r>
      <w:r w:rsidRPr="00307106">
        <w:rPr>
          <w:rFonts w:ascii="Arial" w:hAnsi="Arial" w:cs="Arial"/>
          <w:sz w:val="20"/>
        </w:rPr>
        <w:tab/>
        <w:t>Faktor překročení 2(II)</w:t>
      </w:r>
    </w:p>
    <w:p w14:paraId="42C6BB6D" w14:textId="77777777" w:rsidR="007E7B1D" w:rsidRPr="00307106" w:rsidRDefault="007E7B1D">
      <w:pPr>
        <w:spacing w:before="9"/>
        <w:rPr>
          <w:rFonts w:ascii="Arial" w:eastAsia="Arial" w:hAnsi="Arial" w:cs="Arial"/>
          <w:sz w:val="20"/>
          <w:szCs w:val="20"/>
        </w:rPr>
      </w:pPr>
    </w:p>
    <w:p w14:paraId="5D1124BB" w14:textId="77777777" w:rsidR="007E7B1D" w:rsidRPr="00307106" w:rsidRDefault="0054654B">
      <w:pPr>
        <w:pStyle w:val="Zkladntext"/>
        <w:spacing w:line="276" w:lineRule="auto"/>
        <w:ind w:left="968" w:right="1454" w:hanging="46"/>
        <w:rPr>
          <w:rFonts w:cs="Arial"/>
        </w:rPr>
      </w:pPr>
      <w:r w:rsidRPr="00307106">
        <w:rPr>
          <w:rFonts w:cs="Arial"/>
        </w:rPr>
        <w:t>Y – Látky, u nichž při dodržení mezní hodnoty na pracovišti (AWG) a biologické mezní hodnoty (BGW) nehrozí riziko poškození plodu.</w:t>
      </w:r>
    </w:p>
    <w:p w14:paraId="75BAF57E" w14:textId="77777777" w:rsidR="007E7B1D" w:rsidRPr="00307106" w:rsidRDefault="007E7B1D">
      <w:pPr>
        <w:spacing w:line="276" w:lineRule="auto"/>
        <w:rPr>
          <w:rFonts w:ascii="Arial" w:hAnsi="Arial" w:cs="Arial"/>
        </w:rPr>
        <w:sectPr w:rsidR="007E7B1D" w:rsidRPr="00307106">
          <w:pgSz w:w="11910" w:h="16840"/>
          <w:pgMar w:top="0" w:right="0" w:bottom="1180" w:left="1300" w:header="0" w:footer="990" w:gutter="0"/>
          <w:cols w:space="708"/>
        </w:sectPr>
      </w:pPr>
    </w:p>
    <w:p w14:paraId="2068E1A1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2A4A4E4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156C301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883C0B9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21855E5D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1481D182" w14:textId="77777777" w:rsidR="007E7B1D" w:rsidRPr="00307106" w:rsidRDefault="007E7B1D">
      <w:pPr>
        <w:spacing w:before="6"/>
        <w:rPr>
          <w:rFonts w:ascii="Arial" w:eastAsia="Arial" w:hAnsi="Arial" w:cs="Arial"/>
          <w:sz w:val="21"/>
          <w:szCs w:val="21"/>
        </w:rPr>
      </w:pPr>
    </w:p>
    <w:p w14:paraId="534F12C9" w14:textId="4D1C57A8" w:rsidR="007E7B1D" w:rsidRPr="00307106" w:rsidRDefault="00BB4F53">
      <w:pPr>
        <w:pStyle w:val="Odstavecseseznamem"/>
        <w:numPr>
          <w:ilvl w:val="0"/>
          <w:numId w:val="3"/>
        </w:numPr>
        <w:tabs>
          <w:tab w:val="left" w:pos="904"/>
        </w:tabs>
        <w:ind w:right="3474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503307320" behindDoc="1" locked="0" layoutInCell="1" allowOverlap="1" wp14:anchorId="52354B20" wp14:editId="662FA6BC">
            <wp:simplePos x="0" y="0"/>
            <wp:positionH relativeFrom="page">
              <wp:posOffset>4683760</wp:posOffset>
            </wp:positionH>
            <wp:positionV relativeFrom="paragraph">
              <wp:posOffset>-899160</wp:posOffset>
            </wp:positionV>
            <wp:extent cx="2872105" cy="10896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ascii="Arial" w:hAnsi="Arial" w:cs="Arial"/>
          <w:sz w:val="20"/>
        </w:rPr>
        <w:t xml:space="preserve">Údaje k osobním ochranným pomůckám </w:t>
      </w:r>
    </w:p>
    <w:p w14:paraId="1B908974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  <w:tab w:val="left" w:pos="2948"/>
        </w:tabs>
        <w:spacing w:before="35"/>
        <w:ind w:right="145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Ochrana dýchacího traktu:</w:t>
      </w:r>
      <w:r w:rsidRPr="00307106">
        <w:rPr>
          <w:rFonts w:ascii="Arial" w:hAnsi="Arial" w:cs="Arial"/>
          <w:sz w:val="20"/>
        </w:rPr>
        <w:tab/>
        <w:t>Nutné při vzniku prachů. Filtr P1 (EN 143)</w:t>
      </w:r>
    </w:p>
    <w:p w14:paraId="12F5F837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  <w:tab w:val="left" w:pos="2948"/>
        </w:tabs>
        <w:spacing w:before="3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Ochrana očí:</w:t>
      </w:r>
      <w:r w:rsidRPr="00307106">
        <w:rPr>
          <w:rFonts w:ascii="Arial" w:hAnsi="Arial" w:cs="Arial"/>
          <w:sz w:val="20"/>
        </w:rPr>
        <w:tab/>
        <w:t>není nutná</w:t>
      </w:r>
    </w:p>
    <w:p w14:paraId="01401DFE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  <w:tab w:val="left" w:pos="2948"/>
        </w:tabs>
        <w:spacing w:before="33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Ochrana rukou:</w:t>
      </w:r>
      <w:r w:rsidRPr="00307106">
        <w:rPr>
          <w:rFonts w:ascii="Arial" w:hAnsi="Arial" w:cs="Arial"/>
          <w:sz w:val="20"/>
        </w:rPr>
        <w:tab/>
        <w:t>není nutná</w:t>
      </w:r>
    </w:p>
    <w:p w14:paraId="13CB3BBE" w14:textId="77777777" w:rsidR="007E7B1D" w:rsidRPr="00307106" w:rsidRDefault="007E7B1D">
      <w:pPr>
        <w:spacing w:before="11"/>
        <w:rPr>
          <w:rFonts w:ascii="Arial" w:eastAsia="Arial" w:hAnsi="Arial" w:cs="Arial"/>
          <w:sz w:val="25"/>
          <w:szCs w:val="25"/>
        </w:rPr>
      </w:pPr>
    </w:p>
    <w:p w14:paraId="76BFB0C7" w14:textId="77777777" w:rsidR="007E7B1D" w:rsidRPr="00307106" w:rsidRDefault="0054654B">
      <w:pPr>
        <w:pStyle w:val="Odstavecseseznamem"/>
        <w:numPr>
          <w:ilvl w:val="0"/>
          <w:numId w:val="3"/>
        </w:numPr>
        <w:tabs>
          <w:tab w:val="left" w:pos="904"/>
        </w:tabs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Údaje k pracovní hygieně</w:t>
      </w:r>
    </w:p>
    <w:p w14:paraId="32EDB5F2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</w:tabs>
        <w:spacing w:before="32"/>
        <w:ind w:left="1261" w:right="3474" w:hanging="358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V oblasti používání nejezte, nepijte a nekuřte.</w:t>
      </w:r>
    </w:p>
    <w:p w14:paraId="6469D982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4"/>
        </w:tabs>
        <w:spacing w:before="33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Po ukončení práce je nutné umýt obličej a ruky.</w:t>
      </w:r>
    </w:p>
    <w:p w14:paraId="4BCA2CD6" w14:textId="77777777" w:rsidR="007E7B1D" w:rsidRPr="00307106" w:rsidRDefault="0054654B">
      <w:pPr>
        <w:pStyle w:val="Odstavecseseznamem"/>
        <w:numPr>
          <w:ilvl w:val="1"/>
          <w:numId w:val="3"/>
        </w:numPr>
        <w:tabs>
          <w:tab w:val="left" w:pos="1262"/>
        </w:tabs>
        <w:spacing w:before="33" w:line="273" w:lineRule="auto"/>
        <w:ind w:left="1261" w:right="1543" w:hanging="358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Pro preventivní ochranu pokožky Používejte přípravky na ochranu kůže podle doporučení profesních sdružení</w:t>
      </w:r>
    </w:p>
    <w:p w14:paraId="2626FB11" w14:textId="77777777" w:rsidR="007E7B1D" w:rsidRPr="00307106" w:rsidRDefault="007E7B1D">
      <w:pPr>
        <w:spacing w:before="6"/>
        <w:rPr>
          <w:rFonts w:ascii="Arial" w:eastAsia="Arial" w:hAnsi="Arial" w:cs="Arial"/>
          <w:sz w:val="17"/>
          <w:szCs w:val="17"/>
        </w:rPr>
      </w:pPr>
    </w:p>
    <w:p w14:paraId="407A6F2D" w14:textId="77777777" w:rsidR="007E7B1D" w:rsidRPr="00307106" w:rsidRDefault="0054654B">
      <w:pPr>
        <w:pStyle w:val="Zkladntext"/>
        <w:spacing w:line="278" w:lineRule="auto"/>
        <w:ind w:right="1454"/>
        <w:rPr>
          <w:rFonts w:cs="Arial"/>
        </w:rPr>
      </w:pPr>
      <w:r w:rsidRPr="00307106">
        <w:rPr>
          <w:rFonts w:cs="Arial"/>
        </w:rPr>
        <w:t>Pokud se tuhé pěny EPS používají podle určení, budou tyto hodnoty výrazně nižší nebo nebudou uvedeny.</w:t>
      </w:r>
    </w:p>
    <w:p w14:paraId="3407ED7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2F2C9E3B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5DBF0E48" w14:textId="77777777" w:rsidR="007E7B1D" w:rsidRPr="00307106" w:rsidRDefault="007E7B1D">
      <w:pPr>
        <w:spacing w:before="6"/>
        <w:rPr>
          <w:rFonts w:ascii="Arial" w:eastAsia="Arial" w:hAnsi="Arial" w:cs="Arial"/>
          <w:sz w:val="17"/>
          <w:szCs w:val="17"/>
        </w:rPr>
      </w:pPr>
    </w:p>
    <w:p w14:paraId="0593B9A0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Fyzikální a chemické vlastnosti</w:t>
      </w:r>
    </w:p>
    <w:p w14:paraId="0F44DDF5" w14:textId="77777777" w:rsidR="007E7B1D" w:rsidRPr="00307106" w:rsidRDefault="007E7B1D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14:paraId="6003C7A2" w14:textId="77777777" w:rsidR="007E7B1D" w:rsidRPr="00307106" w:rsidRDefault="0054654B" w:rsidP="000D54EB">
      <w:pPr>
        <w:pStyle w:val="Zkladntext"/>
        <w:tabs>
          <w:tab w:val="left" w:pos="1985"/>
          <w:tab w:val="left" w:pos="4511"/>
        </w:tabs>
        <w:ind w:left="836" w:right="1454"/>
        <w:rPr>
          <w:rFonts w:cs="Arial"/>
        </w:rPr>
      </w:pPr>
      <w:r w:rsidRPr="00307106">
        <w:rPr>
          <w:rFonts w:cs="Arial"/>
        </w:rPr>
        <w:t>Skupenství: pevné, uzavřená buněčná struktura</w:t>
      </w:r>
    </w:p>
    <w:p w14:paraId="0C0E8492" w14:textId="77777777" w:rsidR="007E7B1D" w:rsidRPr="00307106" w:rsidRDefault="000D54EB" w:rsidP="000D54EB">
      <w:pPr>
        <w:pStyle w:val="Zkladntext"/>
        <w:tabs>
          <w:tab w:val="left" w:pos="1985"/>
          <w:tab w:val="left" w:pos="4511"/>
        </w:tabs>
        <w:spacing w:before="34"/>
        <w:ind w:left="836" w:right="1454"/>
        <w:rPr>
          <w:rFonts w:cs="Arial"/>
        </w:rPr>
      </w:pPr>
      <w:r w:rsidRPr="00307106">
        <w:rPr>
          <w:rFonts w:cs="Arial"/>
        </w:rPr>
        <w:t>Forma:</w:t>
      </w:r>
      <w:r w:rsidRPr="00307106">
        <w:rPr>
          <w:rFonts w:cs="Arial"/>
        </w:rPr>
        <w:tab/>
      </w:r>
      <w:r w:rsidRPr="00307106">
        <w:rPr>
          <w:rFonts w:cs="Arial"/>
        </w:rPr>
        <w:tab/>
        <w:t>b</w:t>
      </w:r>
      <w:r w:rsidR="0054654B" w:rsidRPr="00307106">
        <w:rPr>
          <w:rFonts w:cs="Arial"/>
        </w:rPr>
        <w:t>loky, desky, tvarovky, perly</w:t>
      </w:r>
    </w:p>
    <w:p w14:paraId="24008C0A" w14:textId="77777777" w:rsidR="007E7B1D" w:rsidRPr="00307106" w:rsidRDefault="0054654B" w:rsidP="000D54EB">
      <w:pPr>
        <w:pStyle w:val="Zkladntext"/>
        <w:tabs>
          <w:tab w:val="left" w:pos="1985"/>
          <w:tab w:val="left" w:pos="4511"/>
        </w:tabs>
        <w:spacing w:before="36"/>
        <w:ind w:left="836" w:right="3474"/>
        <w:rPr>
          <w:rFonts w:cs="Arial"/>
        </w:rPr>
      </w:pPr>
      <w:r w:rsidRPr="00307106">
        <w:rPr>
          <w:rFonts w:cs="Arial"/>
        </w:rPr>
        <w:t xml:space="preserve">Barva: </w:t>
      </w:r>
      <w:r w:rsidR="000D54EB" w:rsidRPr="00307106">
        <w:rPr>
          <w:rFonts w:cs="Arial"/>
        </w:rPr>
        <w:tab/>
      </w:r>
      <w:r w:rsidR="000D54EB" w:rsidRPr="00307106">
        <w:rPr>
          <w:rFonts w:cs="Arial"/>
        </w:rPr>
        <w:tab/>
      </w:r>
      <w:r w:rsidRPr="00307106">
        <w:rPr>
          <w:rFonts w:cs="Arial"/>
        </w:rPr>
        <w:t>bílé výrobky</w:t>
      </w:r>
    </w:p>
    <w:p w14:paraId="44091B8C" w14:textId="77777777" w:rsidR="007E7B1D" w:rsidRPr="00307106" w:rsidRDefault="0054654B" w:rsidP="000D54EB">
      <w:pPr>
        <w:pStyle w:val="Zkladntext"/>
        <w:tabs>
          <w:tab w:val="left" w:pos="1985"/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 xml:space="preserve">Zápach: </w:t>
      </w:r>
      <w:r w:rsidR="000D54EB" w:rsidRPr="00307106">
        <w:rPr>
          <w:rFonts w:cs="Arial"/>
        </w:rPr>
        <w:tab/>
      </w:r>
      <w:r w:rsidR="000D54EB" w:rsidRPr="00307106">
        <w:rPr>
          <w:rFonts w:cs="Arial"/>
        </w:rPr>
        <w:tab/>
      </w:r>
      <w:r w:rsidRPr="00307106">
        <w:rPr>
          <w:rFonts w:cs="Arial"/>
        </w:rPr>
        <w:t>slabý zápach</w:t>
      </w:r>
    </w:p>
    <w:p w14:paraId="2C72A161" w14:textId="77777777" w:rsidR="007E7B1D" w:rsidRPr="00307106" w:rsidRDefault="0054654B" w:rsidP="000D54EB">
      <w:pPr>
        <w:pStyle w:val="Zkladntext"/>
        <w:tabs>
          <w:tab w:val="left" w:pos="1985"/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 xml:space="preserve">pH: </w:t>
      </w:r>
      <w:r w:rsidR="000D54EB" w:rsidRPr="00307106">
        <w:rPr>
          <w:rFonts w:cs="Arial"/>
        </w:rPr>
        <w:tab/>
      </w:r>
      <w:r w:rsidR="000D54EB" w:rsidRPr="00307106">
        <w:rPr>
          <w:rFonts w:cs="Arial"/>
        </w:rPr>
        <w:tab/>
      </w:r>
      <w:r w:rsidRPr="00307106">
        <w:rPr>
          <w:rFonts w:cs="Arial"/>
        </w:rPr>
        <w:t>nevztahuje se</w:t>
      </w:r>
    </w:p>
    <w:p w14:paraId="44A5BFB5" w14:textId="77777777" w:rsidR="007E7B1D" w:rsidRPr="00307106" w:rsidRDefault="0054654B">
      <w:pPr>
        <w:pStyle w:val="Zkladntext"/>
        <w:tabs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>Teplota měknutí:</w:t>
      </w:r>
      <w:r w:rsidRPr="00307106">
        <w:rPr>
          <w:rFonts w:cs="Arial"/>
        </w:rPr>
        <w:tab/>
        <w:t>85°C – 100°C</w:t>
      </w:r>
    </w:p>
    <w:p w14:paraId="25B868CF" w14:textId="77777777" w:rsidR="007E7B1D" w:rsidRPr="00307106" w:rsidRDefault="0054654B">
      <w:pPr>
        <w:pStyle w:val="Zkladntext"/>
        <w:tabs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 xml:space="preserve">Teplota varu: </w:t>
      </w:r>
      <w:r w:rsidR="000D54EB" w:rsidRPr="00307106">
        <w:rPr>
          <w:rFonts w:cs="Arial"/>
        </w:rPr>
        <w:tab/>
      </w:r>
      <w:r w:rsidRPr="00307106">
        <w:rPr>
          <w:rFonts w:cs="Arial"/>
        </w:rPr>
        <w:t xml:space="preserve">nevztahuje se </w:t>
      </w:r>
    </w:p>
    <w:p w14:paraId="2E998FD0" w14:textId="77777777" w:rsidR="007E7B1D" w:rsidRPr="00307106" w:rsidRDefault="0054654B">
      <w:pPr>
        <w:pStyle w:val="Zkladntext"/>
        <w:tabs>
          <w:tab w:val="left" w:pos="4511"/>
        </w:tabs>
        <w:spacing w:before="36"/>
        <w:ind w:left="836" w:right="3474"/>
        <w:rPr>
          <w:rFonts w:cs="Arial"/>
        </w:rPr>
      </w:pPr>
      <w:r w:rsidRPr="00307106">
        <w:rPr>
          <w:rFonts w:cs="Arial"/>
        </w:rPr>
        <w:t>Teplota vznícení:</w:t>
      </w:r>
      <w:r w:rsidRPr="00307106">
        <w:rPr>
          <w:rFonts w:cs="Arial"/>
        </w:rPr>
        <w:tab/>
        <w:t>cca 450 °C</w:t>
      </w:r>
    </w:p>
    <w:p w14:paraId="542EE465" w14:textId="77777777" w:rsidR="007E7B1D" w:rsidRPr="00307106" w:rsidRDefault="0054654B">
      <w:pPr>
        <w:pStyle w:val="Zkladntext"/>
        <w:tabs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>Bod vzplanutí:</w:t>
      </w:r>
      <w:r w:rsidRPr="00307106">
        <w:rPr>
          <w:rFonts w:cs="Arial"/>
        </w:rPr>
        <w:tab/>
        <w:t>cca 370 °C</w:t>
      </w:r>
    </w:p>
    <w:p w14:paraId="25FCDB9F" w14:textId="77777777" w:rsidR="007E7B1D" w:rsidRPr="00307106" w:rsidRDefault="0054654B">
      <w:pPr>
        <w:pStyle w:val="Zkladntext"/>
        <w:tabs>
          <w:tab w:val="left" w:pos="4511"/>
        </w:tabs>
        <w:spacing w:before="34"/>
        <w:ind w:left="836" w:right="3474"/>
        <w:rPr>
          <w:rFonts w:cs="Arial"/>
        </w:rPr>
      </w:pPr>
      <w:r w:rsidRPr="00307106">
        <w:rPr>
          <w:rFonts w:cs="Arial"/>
        </w:rPr>
        <w:t>Objemová hmotnost:</w:t>
      </w:r>
      <w:r w:rsidRPr="00307106">
        <w:rPr>
          <w:rFonts w:cs="Arial"/>
        </w:rPr>
        <w:tab/>
        <w:t>10 až 50 kg/m³</w:t>
      </w:r>
    </w:p>
    <w:p w14:paraId="70822FEF" w14:textId="77777777" w:rsidR="007E7B1D" w:rsidRPr="00307106" w:rsidRDefault="0054654B">
      <w:pPr>
        <w:pStyle w:val="Zkladntext"/>
        <w:tabs>
          <w:tab w:val="left" w:pos="4511"/>
        </w:tabs>
        <w:spacing w:before="34" w:line="276" w:lineRule="auto"/>
        <w:ind w:left="4511" w:right="1459" w:hanging="3687"/>
        <w:rPr>
          <w:rFonts w:cs="Arial"/>
        </w:rPr>
      </w:pPr>
      <w:r w:rsidRPr="00307106">
        <w:rPr>
          <w:rFonts w:cs="Arial"/>
        </w:rPr>
        <w:t xml:space="preserve">Rozpustnost: </w:t>
      </w:r>
      <w:r w:rsidR="000D54EB" w:rsidRPr="00307106">
        <w:rPr>
          <w:rFonts w:cs="Arial"/>
        </w:rPr>
        <w:tab/>
      </w:r>
      <w:r w:rsidRPr="00307106">
        <w:rPr>
          <w:rFonts w:cs="Arial"/>
        </w:rPr>
        <w:t>nerozpustný ve vodě; rozpustný v různých organických rozpouštědlech a aromatických uhlovodících</w:t>
      </w:r>
    </w:p>
    <w:p w14:paraId="4D75E779" w14:textId="77777777" w:rsidR="007E7B1D" w:rsidRPr="00307106" w:rsidRDefault="007E7B1D">
      <w:pPr>
        <w:spacing w:before="2"/>
        <w:rPr>
          <w:rFonts w:ascii="Arial" w:eastAsia="Arial" w:hAnsi="Arial" w:cs="Arial"/>
          <w:sz w:val="17"/>
          <w:szCs w:val="17"/>
        </w:rPr>
      </w:pPr>
    </w:p>
    <w:p w14:paraId="3F3DEC57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Stabilita a reaktivita</w:t>
      </w:r>
    </w:p>
    <w:p w14:paraId="45A0A836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3F61FAF5" w14:textId="77777777" w:rsidR="000D54EB" w:rsidRPr="00307106" w:rsidRDefault="0054654B">
      <w:pPr>
        <w:pStyle w:val="Zkladntext"/>
        <w:spacing w:line="276" w:lineRule="auto"/>
        <w:ind w:right="1434"/>
        <w:rPr>
          <w:rFonts w:cs="Arial"/>
        </w:rPr>
      </w:pPr>
      <w:r w:rsidRPr="00307106">
        <w:rPr>
          <w:rFonts w:cs="Arial"/>
          <w:u w:val="single" w:color="000000"/>
        </w:rPr>
        <w:t xml:space="preserve">Podmínky, kterým je třeba se vyhnout: </w:t>
      </w:r>
      <w:r w:rsidRPr="00307106">
        <w:rPr>
          <w:rFonts w:cs="Arial"/>
        </w:rPr>
        <w:t xml:space="preserve">Teploty &gt; 100°C (teplota měknutí). </w:t>
      </w:r>
    </w:p>
    <w:p w14:paraId="2CE54C97" w14:textId="77777777" w:rsidR="000D54EB" w:rsidRPr="00307106" w:rsidRDefault="0054654B">
      <w:pPr>
        <w:pStyle w:val="Zkladntext"/>
        <w:spacing w:line="276" w:lineRule="auto"/>
        <w:ind w:right="1434"/>
        <w:rPr>
          <w:rFonts w:cs="Arial"/>
        </w:rPr>
      </w:pPr>
      <w:r w:rsidRPr="00307106">
        <w:rPr>
          <w:rFonts w:cs="Arial"/>
        </w:rPr>
        <w:t xml:space="preserve">U teplot nad &gt; 220°C dochází tepelnému rozkladu. </w:t>
      </w:r>
    </w:p>
    <w:p w14:paraId="73B8108C" w14:textId="77777777" w:rsidR="007E7B1D" w:rsidRPr="00307106" w:rsidRDefault="0054654B">
      <w:pPr>
        <w:pStyle w:val="Zkladntext"/>
        <w:spacing w:line="276" w:lineRule="auto"/>
        <w:ind w:right="1434"/>
        <w:rPr>
          <w:rFonts w:cs="Arial"/>
        </w:rPr>
      </w:pPr>
      <w:r w:rsidRPr="00307106">
        <w:rPr>
          <w:rFonts w:cs="Arial"/>
        </w:rPr>
        <w:t>Při použití podle určení je výrobek stabilní a málo reaktivní.</w:t>
      </w:r>
    </w:p>
    <w:p w14:paraId="775FC6F0" w14:textId="77777777" w:rsidR="007E7B1D" w:rsidRPr="00307106" w:rsidRDefault="007E7B1D">
      <w:pPr>
        <w:spacing w:before="7"/>
        <w:rPr>
          <w:rFonts w:ascii="Arial" w:eastAsia="Arial" w:hAnsi="Arial" w:cs="Arial"/>
          <w:sz w:val="17"/>
          <w:szCs w:val="17"/>
        </w:rPr>
      </w:pPr>
    </w:p>
    <w:p w14:paraId="305FDD99" w14:textId="77777777" w:rsidR="000D54EB" w:rsidRPr="00307106" w:rsidRDefault="0054654B">
      <w:pPr>
        <w:pStyle w:val="Zkladntext"/>
        <w:spacing w:line="482" w:lineRule="auto"/>
        <w:ind w:right="2292"/>
        <w:rPr>
          <w:rFonts w:cs="Arial"/>
        </w:rPr>
      </w:pPr>
      <w:r w:rsidRPr="00307106">
        <w:rPr>
          <w:rFonts w:cs="Arial"/>
          <w:u w:val="single" w:color="000000"/>
        </w:rPr>
        <w:t>Látky, kterým je třeba se vyhnout</w:t>
      </w:r>
      <w:r w:rsidR="00896F90">
        <w:rPr>
          <w:rFonts w:cs="Arial"/>
        </w:rPr>
        <w:t>: Organická rozpouštědla, aromatické uhlovodíky</w:t>
      </w:r>
    </w:p>
    <w:p w14:paraId="68C50C86" w14:textId="77777777" w:rsidR="007E7B1D" w:rsidRPr="00307106" w:rsidRDefault="0054654B">
      <w:pPr>
        <w:pStyle w:val="Zkladntext"/>
        <w:spacing w:line="482" w:lineRule="auto"/>
        <w:ind w:right="2292"/>
        <w:rPr>
          <w:rFonts w:cs="Arial"/>
        </w:rPr>
      </w:pPr>
      <w:r w:rsidRPr="00307106">
        <w:rPr>
          <w:rFonts w:cs="Arial"/>
          <w:u w:val="single" w:color="000000"/>
        </w:rPr>
        <w:t xml:space="preserve">Nebezpečné produkty rozkladu: </w:t>
      </w:r>
      <w:r w:rsidRPr="00307106">
        <w:rPr>
          <w:rFonts w:cs="Arial"/>
        </w:rPr>
        <w:t>Viz kapitola 5</w:t>
      </w:r>
    </w:p>
    <w:p w14:paraId="6A7E57A1" w14:textId="77777777" w:rsidR="007E7B1D" w:rsidRPr="00307106" w:rsidRDefault="007E7B1D">
      <w:pPr>
        <w:spacing w:line="482" w:lineRule="auto"/>
        <w:rPr>
          <w:rFonts w:ascii="Arial" w:hAnsi="Arial" w:cs="Arial"/>
        </w:rPr>
        <w:sectPr w:rsidR="007E7B1D" w:rsidRPr="00307106">
          <w:pgSz w:w="11910" w:h="16840"/>
          <w:pgMar w:top="0" w:right="0" w:bottom="1180" w:left="1300" w:header="0" w:footer="990" w:gutter="0"/>
          <w:cols w:space="708"/>
        </w:sectPr>
      </w:pPr>
    </w:p>
    <w:p w14:paraId="0BF4AB5C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445EA32A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DA66BAE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47DE1DA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1C4E5AEA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05027A16" w14:textId="77777777" w:rsidR="007E7B1D" w:rsidRPr="00307106" w:rsidRDefault="007E7B1D">
      <w:pPr>
        <w:spacing w:before="3"/>
        <w:rPr>
          <w:rFonts w:ascii="Arial" w:eastAsia="Arial" w:hAnsi="Arial" w:cs="Arial"/>
          <w:sz w:val="21"/>
          <w:szCs w:val="21"/>
        </w:rPr>
      </w:pPr>
    </w:p>
    <w:p w14:paraId="4B123E83" w14:textId="2D7912A1" w:rsidR="007E7B1D" w:rsidRPr="00307106" w:rsidRDefault="00BB4F53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>
        <w:rPr>
          <w:rFonts w:cs="Arial"/>
          <w:noProof/>
        </w:rPr>
        <w:drawing>
          <wp:anchor distT="0" distB="0" distL="114300" distR="114300" simplePos="0" relativeHeight="1120" behindDoc="0" locked="0" layoutInCell="1" allowOverlap="1" wp14:anchorId="618FEB22" wp14:editId="736CBC19">
            <wp:simplePos x="0" y="0"/>
            <wp:positionH relativeFrom="page">
              <wp:posOffset>4683760</wp:posOffset>
            </wp:positionH>
            <wp:positionV relativeFrom="paragraph">
              <wp:posOffset>-897255</wp:posOffset>
            </wp:positionV>
            <wp:extent cx="2872105" cy="10896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cs="Arial"/>
        </w:rPr>
        <w:t>Toxikologické údaje</w:t>
      </w:r>
    </w:p>
    <w:p w14:paraId="15F4FAFD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24D75C1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  <w:u w:val="single" w:color="000000"/>
        </w:rPr>
        <w:t xml:space="preserve">Akutní toxicita: </w:t>
      </w:r>
      <w:r w:rsidRPr="00307106">
        <w:rPr>
          <w:rFonts w:cs="Arial"/>
        </w:rPr>
        <w:t>Údaje k akutní toxicitě nejsou k dispozici:</w:t>
      </w:r>
    </w:p>
    <w:p w14:paraId="20AB4FA5" w14:textId="77777777" w:rsidR="007E7B1D" w:rsidRPr="00307106" w:rsidRDefault="007E7B1D">
      <w:pPr>
        <w:spacing w:before="3"/>
        <w:rPr>
          <w:rFonts w:ascii="Arial" w:eastAsia="Arial" w:hAnsi="Arial" w:cs="Arial"/>
          <w:sz w:val="20"/>
          <w:szCs w:val="20"/>
        </w:rPr>
      </w:pPr>
    </w:p>
    <w:p w14:paraId="671B4162" w14:textId="77777777" w:rsidR="007E7B1D" w:rsidRPr="00307106" w:rsidRDefault="0054654B">
      <w:pPr>
        <w:pStyle w:val="Zkladntext"/>
        <w:spacing w:line="278" w:lineRule="auto"/>
        <w:ind w:right="1543"/>
        <w:rPr>
          <w:rFonts w:cs="Arial"/>
        </w:rPr>
      </w:pPr>
      <w:r w:rsidRPr="00307106">
        <w:rPr>
          <w:rFonts w:cs="Arial"/>
          <w:u w:val="single" w:color="000000"/>
        </w:rPr>
        <w:t xml:space="preserve">Subakutní až chronická toxicita: </w:t>
      </w:r>
      <w:r w:rsidRPr="00307106">
        <w:rPr>
          <w:rFonts w:cs="Arial"/>
        </w:rPr>
        <w:t>Údaje k subakutní až chronické toxicitě nejsou k dispozici:</w:t>
      </w:r>
    </w:p>
    <w:p w14:paraId="1BA841A4" w14:textId="77777777" w:rsidR="007E7B1D" w:rsidRPr="00307106" w:rsidRDefault="007E7B1D">
      <w:pPr>
        <w:spacing w:before="2"/>
        <w:rPr>
          <w:rFonts w:ascii="Arial" w:eastAsia="Arial" w:hAnsi="Arial" w:cs="Arial"/>
          <w:sz w:val="17"/>
          <w:szCs w:val="17"/>
        </w:rPr>
      </w:pPr>
    </w:p>
    <w:p w14:paraId="20EAFFC8" w14:textId="77777777" w:rsidR="007E7B1D" w:rsidRPr="00307106" w:rsidRDefault="0054654B">
      <w:pPr>
        <w:pStyle w:val="Zkladntext"/>
        <w:spacing w:line="276" w:lineRule="auto"/>
        <w:ind w:right="1454"/>
        <w:rPr>
          <w:rFonts w:cs="Arial"/>
        </w:rPr>
      </w:pPr>
      <w:r w:rsidRPr="00307106">
        <w:rPr>
          <w:rFonts w:cs="Arial"/>
          <w:u w:val="single" w:color="000000"/>
        </w:rPr>
        <w:t xml:space="preserve">Další údaje k toxicitě: </w:t>
      </w:r>
      <w:r w:rsidRPr="00307106">
        <w:rPr>
          <w:rFonts w:cs="Arial"/>
        </w:rPr>
        <w:t>V případě správného používání výrobku v souladu s určením n</w:t>
      </w:r>
      <w:r w:rsidR="000D54EB" w:rsidRPr="00307106">
        <w:rPr>
          <w:rFonts w:cs="Arial"/>
        </w:rPr>
        <w:t>e</w:t>
      </w:r>
      <w:r w:rsidRPr="00307106">
        <w:rPr>
          <w:rFonts w:cs="Arial"/>
        </w:rPr>
        <w:t>byly dosud nepříznivé účinky zjištěny.</w:t>
      </w:r>
    </w:p>
    <w:p w14:paraId="72634EE8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6D6FD69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0C48AF8" w14:textId="77777777" w:rsidR="007E7B1D" w:rsidRPr="00307106" w:rsidRDefault="007E7B1D">
      <w:pPr>
        <w:spacing w:before="7"/>
        <w:rPr>
          <w:rFonts w:ascii="Arial" w:eastAsia="Arial" w:hAnsi="Arial" w:cs="Arial"/>
          <w:sz w:val="17"/>
          <w:szCs w:val="17"/>
        </w:rPr>
      </w:pPr>
    </w:p>
    <w:p w14:paraId="6F144686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Ekologické informace</w:t>
      </w:r>
    </w:p>
    <w:p w14:paraId="77E27B3C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469EB70A" w14:textId="77777777" w:rsidR="007E7B1D" w:rsidRPr="00307106" w:rsidRDefault="0054654B">
      <w:pPr>
        <w:pStyle w:val="Zkladntext"/>
        <w:ind w:right="1454"/>
        <w:rPr>
          <w:rFonts w:cs="Arial"/>
        </w:rPr>
      </w:pPr>
      <w:r w:rsidRPr="00307106">
        <w:rPr>
          <w:rFonts w:cs="Arial"/>
          <w:u w:val="single" w:color="000000"/>
        </w:rPr>
        <w:t xml:space="preserve">Ekotoxicita: </w:t>
      </w:r>
      <w:r w:rsidRPr="00307106">
        <w:rPr>
          <w:rFonts w:cs="Arial"/>
        </w:rPr>
        <w:t>Není znám žádný toxický účinek v oblasti rozpustnosti ve vodě</w:t>
      </w:r>
    </w:p>
    <w:p w14:paraId="51E0D96B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3A01AF18" w14:textId="77777777" w:rsidR="007E7B1D" w:rsidRPr="00307106" w:rsidRDefault="0054654B">
      <w:pPr>
        <w:pStyle w:val="Zkladntext"/>
        <w:ind w:right="1454"/>
        <w:rPr>
          <w:rFonts w:cs="Arial"/>
        </w:rPr>
      </w:pPr>
      <w:r w:rsidRPr="00307106">
        <w:rPr>
          <w:rFonts w:cs="Arial"/>
          <w:u w:val="single" w:color="000000"/>
        </w:rPr>
        <w:t xml:space="preserve">Persistence a odbouratelnost: </w:t>
      </w:r>
      <w:r w:rsidRPr="00307106">
        <w:rPr>
          <w:rFonts w:cs="Arial"/>
        </w:rPr>
        <w:t>Výrobek není biologicky odbouratelný a je nerozpustný ve vodě.</w:t>
      </w:r>
    </w:p>
    <w:p w14:paraId="6DA701A9" w14:textId="77777777" w:rsidR="007E7B1D" w:rsidRPr="00307106" w:rsidRDefault="007E7B1D">
      <w:pPr>
        <w:spacing w:before="4"/>
        <w:rPr>
          <w:rFonts w:ascii="Arial" w:eastAsia="Arial" w:hAnsi="Arial" w:cs="Arial"/>
          <w:sz w:val="20"/>
          <w:szCs w:val="20"/>
        </w:rPr>
      </w:pPr>
    </w:p>
    <w:p w14:paraId="3AF79759" w14:textId="77777777" w:rsidR="007E7B1D" w:rsidRPr="00307106" w:rsidRDefault="0054654B">
      <w:pPr>
        <w:pStyle w:val="Zkladntext"/>
        <w:spacing w:line="276" w:lineRule="auto"/>
        <w:ind w:right="1454"/>
        <w:rPr>
          <w:rFonts w:cs="Arial"/>
        </w:rPr>
      </w:pPr>
      <w:r w:rsidRPr="00307106">
        <w:rPr>
          <w:rFonts w:cs="Arial"/>
          <w:u w:val="single" w:color="000000"/>
        </w:rPr>
        <w:t xml:space="preserve">Bioakumulační potenciál: </w:t>
      </w:r>
      <w:r w:rsidRPr="00307106">
        <w:rPr>
          <w:rFonts w:cs="Arial"/>
        </w:rPr>
        <w:t>Vzhledem k</w:t>
      </w:r>
      <w:r w:rsidR="00896F90">
        <w:rPr>
          <w:rFonts w:cs="Arial"/>
        </w:rPr>
        <w:t>e</w:t>
      </w:r>
      <w:r w:rsidRPr="00307106">
        <w:rPr>
          <w:rFonts w:cs="Arial"/>
        </w:rPr>
        <w:t xml:space="preserve"> konzistenci a nerozpustnosti výrobku ve vodě není biologická disponibilita pravděpodobná.</w:t>
      </w:r>
    </w:p>
    <w:p w14:paraId="4775FAFD" w14:textId="77777777" w:rsidR="007E7B1D" w:rsidRPr="00307106" w:rsidRDefault="007E7B1D">
      <w:pPr>
        <w:spacing w:before="7"/>
        <w:rPr>
          <w:rFonts w:ascii="Arial" w:eastAsia="Arial" w:hAnsi="Arial" w:cs="Arial"/>
          <w:sz w:val="17"/>
          <w:szCs w:val="17"/>
        </w:rPr>
      </w:pPr>
    </w:p>
    <w:p w14:paraId="142A8498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  <w:u w:val="single" w:color="000000"/>
        </w:rPr>
        <w:t>Dodatečné pokyny:</w:t>
      </w:r>
    </w:p>
    <w:p w14:paraId="3E2D760A" w14:textId="77777777" w:rsidR="007E7B1D" w:rsidRPr="00307106" w:rsidRDefault="007E7B1D">
      <w:pPr>
        <w:spacing w:before="3"/>
        <w:rPr>
          <w:rFonts w:ascii="Arial" w:eastAsia="Arial" w:hAnsi="Arial" w:cs="Arial"/>
          <w:sz w:val="14"/>
          <w:szCs w:val="14"/>
        </w:rPr>
      </w:pPr>
    </w:p>
    <w:p w14:paraId="711627A9" w14:textId="77777777" w:rsidR="007E7B1D" w:rsidRPr="00307106" w:rsidRDefault="0054654B">
      <w:pPr>
        <w:pStyle w:val="Zkladntext"/>
        <w:spacing w:before="74" w:line="405" w:lineRule="auto"/>
        <w:ind w:left="541" w:right="1454"/>
        <w:rPr>
          <w:rFonts w:cs="Arial"/>
        </w:rPr>
      </w:pPr>
      <w:r w:rsidRPr="00307106">
        <w:rPr>
          <w:rFonts w:cs="Arial"/>
        </w:rPr>
        <w:t>Na základě dostupných informací nejsou negativní ekologické účinky známy. Výrobek je chemicky neutrální, nerozpustný ve vodě a neprodukuje žádné látky rozpustné ve vodě. Výrobek z hlediska ekologických rizik nelze klasifikovat.</w:t>
      </w:r>
    </w:p>
    <w:p w14:paraId="79FC69EA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3782905" w14:textId="77777777" w:rsidR="007E7B1D" w:rsidRPr="00307106" w:rsidRDefault="007E7B1D">
      <w:pPr>
        <w:spacing w:before="11"/>
        <w:rPr>
          <w:rFonts w:ascii="Arial" w:eastAsia="Arial" w:hAnsi="Arial" w:cs="Arial"/>
          <w:sz w:val="27"/>
          <w:szCs w:val="27"/>
        </w:rPr>
      </w:pPr>
    </w:p>
    <w:p w14:paraId="13CA9E21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Pokyny k likvidaci</w:t>
      </w:r>
    </w:p>
    <w:p w14:paraId="5F210E62" w14:textId="77777777" w:rsidR="007E7B1D" w:rsidRPr="00307106" w:rsidRDefault="007E7B1D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1231C0DD" w14:textId="77777777" w:rsidR="007E7B1D" w:rsidRPr="00307106" w:rsidRDefault="0054654B">
      <w:pPr>
        <w:pStyle w:val="Zkladntext"/>
        <w:spacing w:line="280" w:lineRule="auto"/>
        <w:ind w:right="1423"/>
        <w:rPr>
          <w:rFonts w:cs="Arial"/>
        </w:rPr>
      </w:pPr>
      <w:r w:rsidRPr="00307106">
        <w:rPr>
          <w:rFonts w:cs="Arial"/>
          <w:u w:val="single" w:color="000000"/>
        </w:rPr>
        <w:t xml:space="preserve">Výrobek: </w:t>
      </w:r>
      <w:r w:rsidRPr="00307106">
        <w:rPr>
          <w:rFonts w:cs="Arial"/>
        </w:rPr>
        <w:t>Tuhá pěna EPS může být znovu zapracovávaná jako materiál, surovina nebo termálně. Při likvidaci odpadu je nutno dodržovat předpisy a zákony příslušných zemí. Likvidace přes specializované firmy a zpracování v spalovnách odpadů je možná bez jakýchkoliv problémů. V souladu se směrnicí 2000/532/EG a nařízením o seznamu odpadů (AVV) je tuhá pěna EPS zařazena do skupiny stavebních a demoličních odpadů. Tuhé pěny EPS nejsou klasifikované jako zvláštní odpady.</w:t>
      </w:r>
    </w:p>
    <w:p w14:paraId="19C08A0C" w14:textId="77777777" w:rsidR="007E7B1D" w:rsidRPr="00307106" w:rsidRDefault="007E7B1D">
      <w:pPr>
        <w:spacing w:before="5"/>
        <w:rPr>
          <w:rFonts w:ascii="Arial" w:eastAsia="Arial" w:hAnsi="Arial" w:cs="Arial"/>
          <w:sz w:val="17"/>
          <w:szCs w:val="17"/>
        </w:rPr>
      </w:pPr>
    </w:p>
    <w:p w14:paraId="0A7CA4D6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</w:rPr>
        <w:t>Katalogové číslo odpadu v souladu s nařízením o seznamu odpadů:</w:t>
      </w:r>
    </w:p>
    <w:p w14:paraId="6ACC5B3D" w14:textId="77777777" w:rsidR="007E7B1D" w:rsidRPr="00307106" w:rsidRDefault="007E7B1D">
      <w:pPr>
        <w:spacing w:before="6"/>
        <w:rPr>
          <w:rFonts w:ascii="Arial" w:eastAsia="Arial" w:hAnsi="Arial" w:cs="Arial"/>
          <w:sz w:val="20"/>
          <w:szCs w:val="20"/>
        </w:rPr>
      </w:pPr>
    </w:p>
    <w:p w14:paraId="3CD52786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  <w:b/>
          <w:bCs/>
        </w:rPr>
        <w:t xml:space="preserve">17 06 04 </w:t>
      </w:r>
      <w:r w:rsidRPr="00307106">
        <w:rPr>
          <w:rFonts w:cs="Arial"/>
        </w:rPr>
        <w:t xml:space="preserve">– Izolační materiály </w:t>
      </w:r>
      <w:r w:rsidR="00896F90">
        <w:rPr>
          <w:rFonts w:cs="Arial"/>
        </w:rPr>
        <w:t>s výjimkou materiálů</w:t>
      </w:r>
    </w:p>
    <w:p w14:paraId="585A1CF7" w14:textId="77777777" w:rsidR="007E7B1D" w:rsidRPr="00307106" w:rsidRDefault="007E7B1D">
      <w:pPr>
        <w:spacing w:before="8"/>
        <w:rPr>
          <w:rFonts w:ascii="Arial" w:eastAsia="Arial" w:hAnsi="Arial" w:cs="Arial"/>
          <w:sz w:val="20"/>
          <w:szCs w:val="20"/>
        </w:rPr>
      </w:pPr>
    </w:p>
    <w:p w14:paraId="14160F0B" w14:textId="77777777" w:rsidR="007E7B1D" w:rsidRPr="00307106" w:rsidRDefault="0054654B">
      <w:pPr>
        <w:pStyle w:val="Zkladntext"/>
        <w:spacing w:line="280" w:lineRule="auto"/>
        <w:ind w:right="1454"/>
        <w:rPr>
          <w:rFonts w:cs="Arial"/>
        </w:rPr>
      </w:pPr>
      <w:r w:rsidRPr="00307106">
        <w:rPr>
          <w:rFonts w:cs="Arial"/>
          <w:u w:val="single" w:color="000000"/>
        </w:rPr>
        <w:t xml:space="preserve">Balení výrobků: </w:t>
      </w:r>
      <w:r w:rsidRPr="00307106">
        <w:rPr>
          <w:rFonts w:cs="Arial"/>
        </w:rPr>
        <w:t>Balení musí být zlikvidováno v souladu s příslušnými místními předpisy nebo znovu systémově využito. Úplně vyprázdněné obaly lze postoupit k recyklaci.</w:t>
      </w:r>
    </w:p>
    <w:p w14:paraId="2D4BCE46" w14:textId="77777777" w:rsidR="007E7B1D" w:rsidRPr="00307106" w:rsidRDefault="007E7B1D">
      <w:pPr>
        <w:spacing w:before="2"/>
        <w:rPr>
          <w:rFonts w:ascii="Arial" w:eastAsia="Arial" w:hAnsi="Arial" w:cs="Arial"/>
          <w:sz w:val="17"/>
          <w:szCs w:val="17"/>
        </w:rPr>
      </w:pPr>
    </w:p>
    <w:p w14:paraId="50350C86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477"/>
        </w:tabs>
        <w:ind w:right="3474"/>
        <w:rPr>
          <w:rFonts w:cs="Arial"/>
          <w:b w:val="0"/>
          <w:bCs w:val="0"/>
        </w:rPr>
      </w:pPr>
      <w:r w:rsidRPr="00307106">
        <w:rPr>
          <w:rFonts w:cs="Arial"/>
        </w:rPr>
        <w:t>Údaje k transportu</w:t>
      </w:r>
    </w:p>
    <w:p w14:paraId="1E2E5A42" w14:textId="77777777" w:rsidR="007E7B1D" w:rsidRPr="00307106" w:rsidRDefault="007E7B1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734946D4" w14:textId="77777777" w:rsidR="007E7B1D" w:rsidRPr="00307106" w:rsidRDefault="0054654B">
      <w:pPr>
        <w:pStyle w:val="Zkladntext"/>
        <w:ind w:right="3474"/>
        <w:rPr>
          <w:rFonts w:cs="Arial"/>
        </w:rPr>
      </w:pPr>
      <w:r w:rsidRPr="00307106">
        <w:rPr>
          <w:rFonts w:cs="Arial"/>
        </w:rPr>
        <w:t>Ve smyslu předpisů o transportu se nejedná o nebezpečný náklad.</w:t>
      </w:r>
    </w:p>
    <w:p w14:paraId="5D2F1D56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38562DA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5F2E33A3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0A7FEA88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8550F9D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2244DA52" w14:textId="77777777" w:rsidR="00FA26B6" w:rsidRPr="00307106" w:rsidRDefault="00FA26B6">
      <w:pPr>
        <w:rPr>
          <w:rFonts w:ascii="Arial" w:eastAsia="Arial" w:hAnsi="Arial" w:cs="Arial"/>
          <w:sz w:val="20"/>
          <w:szCs w:val="20"/>
        </w:rPr>
      </w:pPr>
    </w:p>
    <w:p w14:paraId="46783EED" w14:textId="77777777" w:rsidR="00FA26B6" w:rsidRPr="00307106" w:rsidRDefault="00FA26B6">
      <w:pPr>
        <w:rPr>
          <w:rFonts w:ascii="Arial" w:eastAsia="Arial" w:hAnsi="Arial" w:cs="Arial"/>
          <w:sz w:val="20"/>
          <w:szCs w:val="20"/>
        </w:rPr>
      </w:pPr>
    </w:p>
    <w:p w14:paraId="0E12DA59" w14:textId="77777777" w:rsidR="00FA26B6" w:rsidRPr="00307106" w:rsidRDefault="00FA26B6">
      <w:pPr>
        <w:rPr>
          <w:rFonts w:ascii="Arial" w:eastAsia="Arial" w:hAnsi="Arial" w:cs="Arial"/>
          <w:sz w:val="20"/>
          <w:szCs w:val="20"/>
        </w:rPr>
      </w:pPr>
    </w:p>
    <w:p w14:paraId="044F506B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71CCC24E" w14:textId="77777777" w:rsidR="007E7B1D" w:rsidRPr="00307106" w:rsidRDefault="007E7B1D">
      <w:pPr>
        <w:spacing w:before="7"/>
        <w:rPr>
          <w:rFonts w:ascii="Arial" w:eastAsia="Arial" w:hAnsi="Arial" w:cs="Arial"/>
        </w:rPr>
      </w:pPr>
    </w:p>
    <w:p w14:paraId="57471555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825"/>
        </w:tabs>
        <w:ind w:left="824" w:right="3474" w:hanging="708"/>
        <w:rPr>
          <w:rFonts w:cs="Arial"/>
          <w:b w:val="0"/>
          <w:bCs w:val="0"/>
        </w:rPr>
      </w:pPr>
      <w:r w:rsidRPr="00307106">
        <w:rPr>
          <w:rFonts w:cs="Arial"/>
        </w:rPr>
        <w:t>Právní předpisy</w:t>
      </w:r>
    </w:p>
    <w:p w14:paraId="5D0A4667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3BC62A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2E36EB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FD7A03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3E981C" w14:textId="77777777" w:rsidR="007E7B1D" w:rsidRPr="00307106" w:rsidRDefault="007E7B1D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745E4DE6" w14:textId="1B3BF80B" w:rsidR="007E7B1D" w:rsidRPr="00307106" w:rsidRDefault="00BB4F53">
      <w:pPr>
        <w:pStyle w:val="Odstavecseseznamem"/>
        <w:numPr>
          <w:ilvl w:val="0"/>
          <w:numId w:val="2"/>
        </w:numPr>
        <w:tabs>
          <w:tab w:val="left" w:pos="825"/>
        </w:tabs>
        <w:spacing w:before="62" w:line="276" w:lineRule="auto"/>
        <w:ind w:right="664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1144" behindDoc="0" locked="0" layoutInCell="1" allowOverlap="1" wp14:anchorId="693C4F64" wp14:editId="7A2FEA49">
            <wp:simplePos x="0" y="0"/>
            <wp:positionH relativeFrom="page">
              <wp:posOffset>4683760</wp:posOffset>
            </wp:positionH>
            <wp:positionV relativeFrom="paragraph">
              <wp:posOffset>-858520</wp:posOffset>
            </wp:positionV>
            <wp:extent cx="2872105" cy="10896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4B" w:rsidRPr="00307106">
        <w:rPr>
          <w:rFonts w:ascii="Arial" w:hAnsi="Arial" w:cs="Arial"/>
          <w:sz w:val="20"/>
        </w:rPr>
        <w:t>Značení v souladu se směrnicí EU: Symboly: ---</w:t>
      </w:r>
    </w:p>
    <w:p w14:paraId="60DF67B0" w14:textId="77777777" w:rsidR="007E7B1D" w:rsidRPr="00307106" w:rsidRDefault="0054654B">
      <w:pPr>
        <w:pStyle w:val="Zkladntext"/>
        <w:spacing w:before="5"/>
        <w:ind w:left="824" w:right="3474"/>
        <w:rPr>
          <w:rFonts w:cs="Arial"/>
        </w:rPr>
      </w:pPr>
      <w:r w:rsidRPr="00307106">
        <w:rPr>
          <w:rFonts w:cs="Arial"/>
        </w:rPr>
        <w:t>Věty R: ---</w:t>
      </w:r>
    </w:p>
    <w:p w14:paraId="7599C3F2" w14:textId="77777777" w:rsidR="007E7B1D" w:rsidRPr="00307106" w:rsidRDefault="0054654B">
      <w:pPr>
        <w:pStyle w:val="Zkladntext"/>
        <w:spacing w:before="36"/>
        <w:ind w:left="824" w:right="3474"/>
        <w:rPr>
          <w:rFonts w:cs="Arial"/>
        </w:rPr>
      </w:pPr>
      <w:r w:rsidRPr="00307106">
        <w:rPr>
          <w:rFonts w:cs="Arial"/>
        </w:rPr>
        <w:t>Věty S: ---</w:t>
      </w:r>
    </w:p>
    <w:p w14:paraId="26FF022B" w14:textId="77777777" w:rsidR="007E7B1D" w:rsidRPr="00307106" w:rsidRDefault="0054654B">
      <w:pPr>
        <w:pStyle w:val="Odstavecseseznamem"/>
        <w:numPr>
          <w:ilvl w:val="0"/>
          <w:numId w:val="2"/>
        </w:numPr>
        <w:tabs>
          <w:tab w:val="left" w:pos="825"/>
        </w:tabs>
        <w:spacing w:before="39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Národní předpisy:</w:t>
      </w:r>
    </w:p>
    <w:p w14:paraId="2002EACA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3656"/>
        </w:tabs>
        <w:spacing w:before="37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Vyhláška o nebezpečných látkách:</w:t>
      </w:r>
      <w:r w:rsidRPr="00307106">
        <w:rPr>
          <w:rFonts w:ascii="Arial" w:hAnsi="Arial" w:cs="Arial"/>
          <w:sz w:val="20"/>
        </w:rPr>
        <w:tab/>
        <w:t>Příloha IV č. 22, 3. Odstavec: všeobecná ochranná opatření</w:t>
      </w:r>
    </w:p>
    <w:p w14:paraId="2AF5FF95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4364"/>
        </w:tabs>
        <w:spacing w:before="18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TRGS 500  Ochranná opatření: Minimální standardy.</w:t>
      </w:r>
    </w:p>
    <w:p w14:paraId="3A5AB372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2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BGV A1</w:t>
      </w:r>
      <w:r w:rsidRPr="00307106">
        <w:rPr>
          <w:rFonts w:ascii="Arial" w:hAnsi="Arial" w:cs="Arial"/>
          <w:sz w:val="20"/>
        </w:rPr>
        <w:tab/>
        <w:t>Všeobecné předpisy</w:t>
      </w:r>
    </w:p>
    <w:p w14:paraId="44A2FEB8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2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BGR 189</w:t>
      </w:r>
      <w:r w:rsidRPr="00307106">
        <w:rPr>
          <w:rFonts w:ascii="Arial" w:hAnsi="Arial" w:cs="Arial"/>
          <w:sz w:val="20"/>
        </w:rPr>
        <w:tab/>
        <w:t>Použití ochranných oděvů</w:t>
      </w:r>
    </w:p>
    <w:p w14:paraId="3C12BEAC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2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BGR 190</w:t>
      </w:r>
      <w:r w:rsidRPr="00307106">
        <w:rPr>
          <w:rFonts w:ascii="Arial" w:hAnsi="Arial" w:cs="Arial"/>
          <w:sz w:val="20"/>
        </w:rPr>
        <w:tab/>
        <w:t xml:space="preserve">Pravidla k používání dýchacích přístrojů </w:t>
      </w:r>
    </w:p>
    <w:p w14:paraId="3629A08E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21"/>
        <w:ind w:right="145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BGR 192</w:t>
      </w:r>
      <w:r w:rsidRPr="00307106">
        <w:rPr>
          <w:rFonts w:ascii="Arial" w:hAnsi="Arial" w:cs="Arial"/>
          <w:sz w:val="20"/>
        </w:rPr>
        <w:tab/>
        <w:t>Pravidla pro používání ochrany zraku a obličeje</w:t>
      </w:r>
    </w:p>
    <w:p w14:paraId="760139C8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18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BGR 195</w:t>
      </w:r>
      <w:r w:rsidRPr="00307106">
        <w:rPr>
          <w:rFonts w:ascii="Arial" w:hAnsi="Arial" w:cs="Arial"/>
          <w:sz w:val="20"/>
        </w:rPr>
        <w:tab/>
        <w:t>Pravidla pro používání ochranných rukavic</w:t>
      </w:r>
    </w:p>
    <w:p w14:paraId="28129176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  <w:tab w:val="left" w:pos="2240"/>
        </w:tabs>
        <w:spacing w:before="21"/>
        <w:ind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BGR 197</w:t>
      </w:r>
      <w:r w:rsidRPr="00307106">
        <w:rPr>
          <w:rFonts w:ascii="Arial" w:hAnsi="Arial" w:cs="Arial"/>
          <w:sz w:val="20"/>
        </w:rPr>
        <w:tab/>
        <w:t>Pravidla pro ochranu kůže</w:t>
      </w:r>
    </w:p>
    <w:p w14:paraId="6B63339B" w14:textId="77777777" w:rsidR="007E7B1D" w:rsidRPr="00307106" w:rsidRDefault="0054654B">
      <w:pPr>
        <w:pStyle w:val="Odstavecseseznamem"/>
        <w:numPr>
          <w:ilvl w:val="1"/>
          <w:numId w:val="2"/>
        </w:numPr>
        <w:tabs>
          <w:tab w:val="left" w:pos="1110"/>
        </w:tabs>
        <w:spacing w:before="23"/>
        <w:ind w:right="145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Směrnice M 054 BG Chemie: Styren a přípravky obsahující styren</w:t>
      </w:r>
    </w:p>
    <w:p w14:paraId="57BFB60C" w14:textId="77777777" w:rsidR="007E7B1D" w:rsidRPr="00307106" w:rsidRDefault="007E7B1D">
      <w:pPr>
        <w:spacing w:before="5"/>
        <w:rPr>
          <w:rFonts w:ascii="Arial" w:eastAsia="Arial" w:hAnsi="Arial" w:cs="Arial"/>
          <w:sz w:val="19"/>
          <w:szCs w:val="19"/>
        </w:rPr>
      </w:pPr>
    </w:p>
    <w:p w14:paraId="70B7C432" w14:textId="77777777" w:rsidR="007E7B1D" w:rsidRPr="00307106" w:rsidRDefault="0054654B">
      <w:pPr>
        <w:pStyle w:val="Odstavecseseznamem"/>
        <w:numPr>
          <w:ilvl w:val="0"/>
          <w:numId w:val="2"/>
        </w:numPr>
        <w:tabs>
          <w:tab w:val="left" w:pos="825"/>
        </w:tabs>
        <w:ind w:right="3474" w:hanging="283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Třída ohrožení vody: není nebezpečný pro vodu</w:t>
      </w:r>
    </w:p>
    <w:p w14:paraId="54EEAA33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63044011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51AA857" w14:textId="77777777" w:rsidR="007E7B1D" w:rsidRPr="00307106" w:rsidRDefault="007E7B1D">
      <w:pPr>
        <w:spacing w:before="1"/>
        <w:rPr>
          <w:rFonts w:ascii="Arial" w:eastAsia="Arial" w:hAnsi="Arial" w:cs="Arial"/>
          <w:sz w:val="21"/>
          <w:szCs w:val="21"/>
        </w:rPr>
      </w:pPr>
    </w:p>
    <w:p w14:paraId="5AB8D51D" w14:textId="77777777" w:rsidR="007E7B1D" w:rsidRPr="00307106" w:rsidRDefault="0054654B">
      <w:pPr>
        <w:pStyle w:val="Nadpis2"/>
        <w:numPr>
          <w:ilvl w:val="0"/>
          <w:numId w:val="5"/>
        </w:numPr>
        <w:tabs>
          <w:tab w:val="left" w:pos="501"/>
        </w:tabs>
        <w:ind w:left="500" w:right="3474" w:hanging="384"/>
        <w:rPr>
          <w:rFonts w:cs="Arial"/>
          <w:b w:val="0"/>
          <w:bCs w:val="0"/>
        </w:rPr>
      </w:pPr>
      <w:r w:rsidRPr="00307106">
        <w:rPr>
          <w:rFonts w:cs="Arial"/>
        </w:rPr>
        <w:t>Další informace</w:t>
      </w:r>
    </w:p>
    <w:p w14:paraId="7FD4AC9F" w14:textId="77777777" w:rsidR="007E7B1D" w:rsidRPr="00307106" w:rsidRDefault="007E7B1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CEF4FF7" w14:textId="77777777" w:rsidR="007E7B1D" w:rsidRPr="00307106" w:rsidRDefault="0054654B">
      <w:pPr>
        <w:pStyle w:val="Zkladntext"/>
        <w:ind w:left="116" w:right="1454"/>
        <w:rPr>
          <w:rFonts w:cs="Arial"/>
        </w:rPr>
      </w:pPr>
      <w:r w:rsidRPr="00307106">
        <w:rPr>
          <w:rFonts w:cs="Arial"/>
        </w:rPr>
        <w:t>Znění všech vět R viz bod:  Složení/informace o složkách</w:t>
      </w:r>
    </w:p>
    <w:p w14:paraId="23DB887B" w14:textId="77777777" w:rsidR="007E7B1D" w:rsidRPr="00307106" w:rsidRDefault="0054654B">
      <w:pPr>
        <w:pStyle w:val="Zkladntext"/>
        <w:tabs>
          <w:tab w:val="left" w:pos="824"/>
        </w:tabs>
        <w:spacing w:before="39"/>
        <w:ind w:left="116" w:right="3474"/>
        <w:rPr>
          <w:rFonts w:cs="Arial"/>
        </w:rPr>
      </w:pPr>
      <w:r w:rsidRPr="00307106">
        <w:rPr>
          <w:rFonts w:cs="Arial"/>
        </w:rPr>
        <w:t>12</w:t>
      </w:r>
      <w:r w:rsidRPr="00307106">
        <w:rPr>
          <w:rFonts w:cs="Arial"/>
        </w:rPr>
        <w:tab/>
      </w:r>
      <w:r w:rsidR="00FA26B6" w:rsidRPr="00307106">
        <w:rPr>
          <w:rFonts w:cs="Arial"/>
        </w:rPr>
        <w:t>V</w:t>
      </w:r>
      <w:r w:rsidRPr="00307106">
        <w:rPr>
          <w:rFonts w:cs="Arial"/>
        </w:rPr>
        <w:t>ysoce vznětlivý</w:t>
      </w:r>
    </w:p>
    <w:p w14:paraId="380F90AE" w14:textId="77777777" w:rsidR="007E7B1D" w:rsidRPr="00307106" w:rsidRDefault="0054654B">
      <w:pPr>
        <w:pStyle w:val="Zkladntext"/>
        <w:tabs>
          <w:tab w:val="left" w:pos="824"/>
        </w:tabs>
        <w:spacing w:before="39"/>
        <w:ind w:left="116" w:right="1454"/>
        <w:rPr>
          <w:rFonts w:cs="Arial"/>
        </w:rPr>
      </w:pPr>
      <w:r w:rsidRPr="00307106">
        <w:rPr>
          <w:rFonts w:cs="Arial"/>
        </w:rPr>
        <w:t>51/53</w:t>
      </w:r>
      <w:r w:rsidRPr="00307106">
        <w:rPr>
          <w:rFonts w:cs="Arial"/>
        </w:rPr>
        <w:tab/>
        <w:t xml:space="preserve">Toxický pro vodní organismy, může vyvolat dlouhodobé nepříznivé účinky ve vodním </w:t>
      </w:r>
      <w:r w:rsidR="00FA26B6" w:rsidRPr="00307106">
        <w:rPr>
          <w:rFonts w:cs="Arial"/>
        </w:rPr>
        <w:tab/>
      </w:r>
      <w:r w:rsidRPr="00307106">
        <w:rPr>
          <w:rFonts w:cs="Arial"/>
        </w:rPr>
        <w:t>prostředí.</w:t>
      </w:r>
    </w:p>
    <w:p w14:paraId="482E2D51" w14:textId="77777777" w:rsidR="007E7B1D" w:rsidRPr="00307106" w:rsidRDefault="00FA26B6">
      <w:pPr>
        <w:pStyle w:val="Odstavecseseznamem"/>
        <w:numPr>
          <w:ilvl w:val="0"/>
          <w:numId w:val="1"/>
        </w:numPr>
        <w:tabs>
          <w:tab w:val="left" w:pos="825"/>
        </w:tabs>
        <w:spacing w:before="39"/>
        <w:ind w:right="1454" w:hanging="427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ab/>
      </w:r>
      <w:r w:rsidR="0054654B" w:rsidRPr="00307106">
        <w:rPr>
          <w:rFonts w:ascii="Arial" w:hAnsi="Arial" w:cs="Arial"/>
          <w:sz w:val="20"/>
        </w:rPr>
        <w:t>Zdraví škodlivý, může při pozření způsobit poškození plic</w:t>
      </w:r>
    </w:p>
    <w:p w14:paraId="2E8D488E" w14:textId="77777777" w:rsidR="007E7B1D" w:rsidRPr="00307106" w:rsidRDefault="0054654B">
      <w:pPr>
        <w:pStyle w:val="Odstavecseseznamem"/>
        <w:numPr>
          <w:ilvl w:val="0"/>
          <w:numId w:val="1"/>
        </w:numPr>
        <w:tabs>
          <w:tab w:val="left" w:pos="825"/>
        </w:tabs>
        <w:spacing w:before="39"/>
        <w:ind w:left="824" w:right="3474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>Opakovaný kontakt může způsobit vysušení nebo popraskání kůže</w:t>
      </w:r>
    </w:p>
    <w:p w14:paraId="7D25380A" w14:textId="77777777" w:rsidR="00D962C5" w:rsidRPr="00D962C5" w:rsidRDefault="00FA26B6">
      <w:pPr>
        <w:pStyle w:val="Odstavecseseznamem"/>
        <w:numPr>
          <w:ilvl w:val="0"/>
          <w:numId w:val="1"/>
        </w:numPr>
        <w:tabs>
          <w:tab w:val="left" w:pos="825"/>
        </w:tabs>
        <w:spacing w:before="39" w:line="487" w:lineRule="auto"/>
        <w:ind w:right="4281" w:hanging="427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</w:rPr>
        <w:tab/>
      </w:r>
      <w:r w:rsidR="0054654B" w:rsidRPr="00307106">
        <w:rPr>
          <w:rFonts w:ascii="Arial" w:hAnsi="Arial" w:cs="Arial"/>
          <w:sz w:val="20"/>
        </w:rPr>
        <w:t xml:space="preserve">Páry mohou způsobit ospalost a závratě </w:t>
      </w:r>
    </w:p>
    <w:p w14:paraId="17E3CA47" w14:textId="77777777" w:rsidR="007E7B1D" w:rsidRPr="00307106" w:rsidRDefault="0054654B" w:rsidP="00D962C5">
      <w:pPr>
        <w:pStyle w:val="Odstavecseseznamem"/>
        <w:tabs>
          <w:tab w:val="left" w:pos="825"/>
        </w:tabs>
        <w:spacing w:before="39" w:line="487" w:lineRule="auto"/>
        <w:ind w:left="543" w:right="4281"/>
        <w:rPr>
          <w:rFonts w:ascii="Arial" w:eastAsia="Arial" w:hAnsi="Arial" w:cs="Arial"/>
          <w:sz w:val="20"/>
          <w:szCs w:val="20"/>
        </w:rPr>
      </w:pPr>
      <w:r w:rsidRPr="00307106">
        <w:rPr>
          <w:rFonts w:ascii="Arial" w:hAnsi="Arial" w:cs="Arial"/>
          <w:sz w:val="20"/>
          <w:u w:val="single"/>
        </w:rPr>
        <w:t>Jiné pokyny</w:t>
      </w:r>
    </w:p>
    <w:p w14:paraId="18D3B5F9" w14:textId="77777777" w:rsidR="007E7B1D" w:rsidRPr="00307106" w:rsidRDefault="0054654B" w:rsidP="00FA26B6">
      <w:pPr>
        <w:pStyle w:val="Zkladntext"/>
        <w:spacing w:before="10" w:line="276" w:lineRule="auto"/>
        <w:ind w:left="0" w:right="1486"/>
        <w:jc w:val="both"/>
        <w:rPr>
          <w:rFonts w:cs="Arial"/>
        </w:rPr>
      </w:pPr>
      <w:r w:rsidRPr="00307106">
        <w:rPr>
          <w:rFonts w:cs="Arial"/>
        </w:rPr>
        <w:t>Informace uvedené v tomto informačním listu jsou založeny na našich současných znalostech a zkušenostech a popisují výrobek s ohledem na bezpečnostní požadavky.</w:t>
      </w:r>
    </w:p>
    <w:p w14:paraId="0CF8E36F" w14:textId="77777777" w:rsidR="007E7B1D" w:rsidRPr="00307106" w:rsidRDefault="007E7B1D">
      <w:pPr>
        <w:spacing w:before="4"/>
        <w:rPr>
          <w:rFonts w:ascii="Arial" w:eastAsia="Arial" w:hAnsi="Arial" w:cs="Arial"/>
          <w:sz w:val="17"/>
          <w:szCs w:val="17"/>
        </w:rPr>
      </w:pPr>
    </w:p>
    <w:p w14:paraId="4339C1DC" w14:textId="77777777" w:rsidR="007E7B1D" w:rsidRPr="00307106" w:rsidRDefault="0054654B" w:rsidP="00FA26B6">
      <w:pPr>
        <w:pStyle w:val="Zkladntext"/>
        <w:spacing w:line="278" w:lineRule="auto"/>
        <w:ind w:right="1454" w:hanging="543"/>
        <w:rPr>
          <w:rFonts w:cs="Arial"/>
        </w:rPr>
      </w:pPr>
      <w:r w:rsidRPr="00307106">
        <w:rPr>
          <w:rFonts w:cs="Arial"/>
        </w:rPr>
        <w:t>Informace nepředstavují záruku vlastností a jakosti výrobků.</w:t>
      </w:r>
    </w:p>
    <w:p w14:paraId="19CEF907" w14:textId="77777777" w:rsidR="007E7B1D" w:rsidRPr="00307106" w:rsidRDefault="007E7B1D">
      <w:pPr>
        <w:spacing w:before="2"/>
        <w:rPr>
          <w:rFonts w:ascii="Arial" w:eastAsia="Arial" w:hAnsi="Arial" w:cs="Arial"/>
          <w:sz w:val="17"/>
          <w:szCs w:val="17"/>
        </w:rPr>
      </w:pPr>
    </w:p>
    <w:p w14:paraId="34344ECC" w14:textId="77777777" w:rsidR="007E7B1D" w:rsidRPr="00307106" w:rsidRDefault="0054654B" w:rsidP="00FA26B6">
      <w:pPr>
        <w:pStyle w:val="Zkladntext"/>
        <w:spacing w:line="276" w:lineRule="auto"/>
        <w:ind w:left="0" w:right="1434"/>
        <w:rPr>
          <w:rFonts w:cs="Arial"/>
        </w:rPr>
      </w:pPr>
      <w:r w:rsidRPr="00307106">
        <w:rPr>
          <w:rFonts w:cs="Arial"/>
        </w:rPr>
        <w:t>Uživatel našich výrobků na vlastní odpovědnost povinen dodržo</w:t>
      </w:r>
      <w:r w:rsidR="00D962C5">
        <w:rPr>
          <w:rFonts w:cs="Arial"/>
        </w:rPr>
        <w:t>vat stávající zákony a předpisy</w:t>
      </w:r>
      <w:r w:rsidRPr="00307106">
        <w:rPr>
          <w:rFonts w:cs="Arial"/>
        </w:rPr>
        <w:t xml:space="preserve"> a dále veškerá ochranná práva.</w:t>
      </w:r>
    </w:p>
    <w:p w14:paraId="55BFA60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34502930" w14:textId="77777777" w:rsidR="007E7B1D" w:rsidRPr="00307106" w:rsidRDefault="007E7B1D">
      <w:pPr>
        <w:rPr>
          <w:rFonts w:ascii="Arial" w:eastAsia="Arial" w:hAnsi="Arial" w:cs="Arial"/>
          <w:sz w:val="20"/>
          <w:szCs w:val="20"/>
        </w:rPr>
      </w:pPr>
    </w:p>
    <w:p w14:paraId="0248F274" w14:textId="77777777" w:rsidR="007E7B1D" w:rsidRPr="00307106" w:rsidRDefault="007E7B1D">
      <w:pPr>
        <w:spacing w:before="4"/>
        <w:rPr>
          <w:rFonts w:ascii="Arial" w:eastAsia="Arial" w:hAnsi="Arial" w:cs="Arial"/>
          <w:sz w:val="20"/>
          <w:szCs w:val="20"/>
        </w:rPr>
      </w:pPr>
    </w:p>
    <w:p w14:paraId="438A01B7" w14:textId="77777777" w:rsidR="007E7B1D" w:rsidRPr="00307106" w:rsidRDefault="0054654B" w:rsidP="00FA26B6">
      <w:pPr>
        <w:pStyle w:val="Zkladntext"/>
        <w:ind w:left="0"/>
        <w:jc w:val="both"/>
        <w:rPr>
          <w:rFonts w:cs="Arial"/>
        </w:rPr>
      </w:pPr>
      <w:r w:rsidRPr="00307106">
        <w:rPr>
          <w:rFonts w:cs="Arial"/>
        </w:rPr>
        <w:t>Přehled celého sortimentu pěn EPS naleznete na</w:t>
      </w:r>
    </w:p>
    <w:p w14:paraId="20709E74" w14:textId="77777777" w:rsidR="007E7B1D" w:rsidRPr="00307106" w:rsidRDefault="0054654B" w:rsidP="00FA26B6">
      <w:pPr>
        <w:pStyle w:val="Nadpis2"/>
        <w:spacing w:before="31"/>
        <w:ind w:left="543" w:hanging="543"/>
        <w:jc w:val="both"/>
        <w:rPr>
          <w:rFonts w:cs="Arial"/>
          <w:b w:val="0"/>
          <w:bCs w:val="0"/>
        </w:rPr>
      </w:pPr>
      <w:hyperlink r:id="rId10">
        <w:r w:rsidRPr="00307106">
          <w:rPr>
            <w:rFonts w:cs="Arial"/>
          </w:rPr>
          <w:t>www.nafab-foams.de</w:t>
        </w:r>
      </w:hyperlink>
    </w:p>
    <w:p w14:paraId="1B7B91DF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97E7A8" w14:textId="77777777" w:rsidR="007E7B1D" w:rsidRPr="00307106" w:rsidRDefault="007E7B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9F1B74" w14:textId="77777777" w:rsidR="007E7B1D" w:rsidRPr="00307106" w:rsidRDefault="007E7B1D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76ED220E" w14:textId="77777777" w:rsidR="007E7B1D" w:rsidRPr="00307106" w:rsidRDefault="0054654B">
      <w:pPr>
        <w:spacing w:line="276" w:lineRule="auto"/>
        <w:ind w:left="116" w:right="1461"/>
        <w:rPr>
          <w:rFonts w:ascii="Arial" w:eastAsia="Arial" w:hAnsi="Arial" w:cs="Arial"/>
          <w:sz w:val="16"/>
          <w:szCs w:val="16"/>
        </w:rPr>
      </w:pPr>
      <w:r w:rsidRPr="00307106">
        <w:rPr>
          <w:rFonts w:ascii="Arial" w:hAnsi="Arial" w:cs="Arial"/>
          <w:sz w:val="16"/>
        </w:rPr>
        <w:t>Informace uvedené v tomto výtisku jsou založeny na našich současných znalostech a zkušenostech. Záruka na určité vlastnosti nebo pro vhodnost výrobku pro konkrétní ú</w:t>
      </w:r>
      <w:r w:rsidR="00FA26B6" w:rsidRPr="00307106">
        <w:rPr>
          <w:rFonts w:ascii="Arial" w:hAnsi="Arial" w:cs="Arial"/>
          <w:sz w:val="16"/>
        </w:rPr>
        <w:t xml:space="preserve">čel použití z našich informací </w:t>
      </w:r>
      <w:r w:rsidRPr="00307106">
        <w:rPr>
          <w:rFonts w:ascii="Arial" w:hAnsi="Arial" w:cs="Arial"/>
          <w:sz w:val="16"/>
        </w:rPr>
        <w:t>nemůže být odvozena.</w:t>
      </w:r>
      <w:r w:rsidRPr="00307106">
        <w:rPr>
          <w:rFonts w:ascii="Arial" w:hAnsi="Arial" w:cs="Arial"/>
          <w:sz w:val="16"/>
        </w:rPr>
        <w:cr/>
      </w:r>
      <w:r w:rsidRPr="00307106">
        <w:rPr>
          <w:rFonts w:ascii="Arial" w:hAnsi="Arial" w:cs="Arial"/>
          <w:sz w:val="16"/>
        </w:rPr>
        <w:br/>
        <w:t xml:space="preserve"> Výkresy, fotografie, údaje, vztahy, hmotnosti atd. mohou být změněny bez předchozího upozornění a nepředstavují smluvní dohodnutou kvalitu výrobku. Stav: Květen 2017</w:t>
      </w:r>
    </w:p>
    <w:sectPr w:rsidR="007E7B1D" w:rsidRPr="00307106" w:rsidSect="002F625D">
      <w:pgSz w:w="11910" w:h="16840"/>
      <w:pgMar w:top="0" w:right="0" w:bottom="1180" w:left="1300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89A1" w14:textId="77777777" w:rsidR="006D3B75" w:rsidRDefault="006D3B75">
      <w:r>
        <w:separator/>
      </w:r>
    </w:p>
  </w:endnote>
  <w:endnote w:type="continuationSeparator" w:id="0">
    <w:p w14:paraId="34388087" w14:textId="77777777" w:rsidR="006D3B75" w:rsidRDefault="006D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5D8" w14:textId="76604690" w:rsidR="007E7B1D" w:rsidRDefault="00BB4F5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FF5729" wp14:editId="220A0B4D">
              <wp:simplePos x="0" y="0"/>
              <wp:positionH relativeFrom="page">
                <wp:posOffset>5832475</wp:posOffset>
              </wp:positionH>
              <wp:positionV relativeFrom="page">
                <wp:posOffset>9924415</wp:posOffset>
              </wp:positionV>
              <wp:extent cx="1102360" cy="165735"/>
              <wp:effectExtent l="3175" t="0" r="0" b="0"/>
              <wp:wrapNone/>
              <wp:docPr id="13595828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FC139" w14:textId="77777777" w:rsidR="007E7B1D" w:rsidRDefault="0054654B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Strana </w:t>
                          </w:r>
                          <w:r w:rsidR="002F625D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 w:rsidR="002F625D">
                            <w:fldChar w:fldCharType="separate"/>
                          </w:r>
                          <w:r w:rsidR="00C11A99">
                            <w:rPr>
                              <w:rFonts w:ascii="Arial"/>
                              <w:b/>
                              <w:noProof/>
                            </w:rPr>
                            <w:t>5</w:t>
                          </w:r>
                          <w:r w:rsidR="002F625D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 w:rsidR="00307106">
                            <w:rPr>
                              <w:rFonts w:ascii="Arial"/>
                            </w:rPr>
                            <w:t>z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F57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25pt;margin-top:781.45pt;width:86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" filled="f" stroked="f">
              <v:textbox inset="0,0,0,0">
                <w:txbxContent>
                  <w:p w14:paraId="31BFC139" w14:textId="77777777" w:rsidR="007E7B1D" w:rsidRDefault="0054654B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 xml:space="preserve">Strana </w:t>
                    </w:r>
                    <w:r w:rsidR="002F625D"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 w:rsidR="002F625D">
                      <w:fldChar w:fldCharType="separate"/>
                    </w:r>
                    <w:r w:rsidR="00C11A99">
                      <w:rPr>
                        <w:rFonts w:ascii="Arial"/>
                        <w:b/>
                        <w:noProof/>
                      </w:rPr>
                      <w:t>5</w:t>
                    </w:r>
                    <w:r w:rsidR="002F625D"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 w:rsidR="00307106">
                      <w:rPr>
                        <w:rFonts w:ascii="Arial"/>
                      </w:rPr>
                      <w:t>z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B6BA" w14:textId="77777777" w:rsidR="006D3B75" w:rsidRDefault="006D3B75">
      <w:r>
        <w:separator/>
      </w:r>
    </w:p>
  </w:footnote>
  <w:footnote w:type="continuationSeparator" w:id="0">
    <w:p w14:paraId="0700DC9B" w14:textId="77777777" w:rsidR="006D3B75" w:rsidRDefault="006D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99E"/>
    <w:multiLevelType w:val="multilevel"/>
    <w:tmpl w:val="AAF87A44"/>
    <w:lvl w:ilvl="0">
      <w:numFmt w:val="decimal"/>
      <w:lvlText w:val="%1."/>
      <w:lvlJc w:val="left"/>
      <w:pPr>
        <w:ind w:left="476" w:hanging="36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249" w:hanging="281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10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1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4" w:hanging="281"/>
      </w:pPr>
      <w:rPr>
        <w:rFonts w:hint="default"/>
      </w:rPr>
    </w:lvl>
  </w:abstractNum>
  <w:abstractNum w:abstractNumId="1" w15:restartNumberingAfterBreak="0">
    <w:nsid w:val="420C1583"/>
    <w:multiLevelType w:val="hybridMultilevel"/>
    <w:tmpl w:val="0D62DD40"/>
    <w:lvl w:ilvl="0" w:tplc="7404583A">
      <w:start w:val="1"/>
      <w:numFmt w:val="lowerLetter"/>
      <w:lvlText w:val="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0525626">
      <w:start w:val="1"/>
      <w:numFmt w:val="bullet"/>
      <w:lvlText w:val=""/>
      <w:lvlJc w:val="left"/>
      <w:pPr>
        <w:ind w:left="126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4BE5C52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3" w:tplc="0FE2CAB2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4" w:tplc="A9303E18">
      <w:start w:val="1"/>
      <w:numFmt w:val="bullet"/>
      <w:lvlText w:val="•"/>
      <w:lvlJc w:val="left"/>
      <w:pPr>
        <w:ind w:left="5816" w:hanging="360"/>
      </w:pPr>
      <w:rPr>
        <w:rFonts w:hint="default"/>
      </w:rPr>
    </w:lvl>
    <w:lvl w:ilvl="5" w:tplc="8D8EEFCE">
      <w:start w:val="1"/>
      <w:numFmt w:val="bullet"/>
      <w:lvlText w:val="•"/>
      <w:lvlJc w:val="left"/>
      <w:pPr>
        <w:ind w:left="6614" w:hanging="360"/>
      </w:pPr>
      <w:rPr>
        <w:rFonts w:hint="default"/>
      </w:rPr>
    </w:lvl>
    <w:lvl w:ilvl="6" w:tplc="5CEC37CC">
      <w:start w:val="1"/>
      <w:numFmt w:val="bullet"/>
      <w:lvlText w:val="•"/>
      <w:lvlJc w:val="left"/>
      <w:pPr>
        <w:ind w:left="7413" w:hanging="360"/>
      </w:pPr>
      <w:rPr>
        <w:rFonts w:hint="default"/>
      </w:rPr>
    </w:lvl>
    <w:lvl w:ilvl="7" w:tplc="E3DC1DC4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  <w:lvl w:ilvl="8" w:tplc="4B5A4594">
      <w:start w:val="1"/>
      <w:numFmt w:val="bullet"/>
      <w:lvlText w:val="•"/>
      <w:lvlJc w:val="left"/>
      <w:pPr>
        <w:ind w:left="9009" w:hanging="360"/>
      </w:pPr>
      <w:rPr>
        <w:rFonts w:hint="default"/>
      </w:rPr>
    </w:lvl>
  </w:abstractNum>
  <w:abstractNum w:abstractNumId="2" w15:restartNumberingAfterBreak="0">
    <w:nsid w:val="50F21204"/>
    <w:multiLevelType w:val="hybridMultilevel"/>
    <w:tmpl w:val="B30C62EC"/>
    <w:lvl w:ilvl="0" w:tplc="85580F0E">
      <w:start w:val="65"/>
      <w:numFmt w:val="decimal"/>
      <w:lvlText w:val="%1"/>
      <w:lvlJc w:val="left"/>
      <w:pPr>
        <w:ind w:left="543" w:hanging="708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C7CDEB6">
      <w:start w:val="1"/>
      <w:numFmt w:val="bullet"/>
      <w:lvlText w:val="•"/>
      <w:lvlJc w:val="left"/>
      <w:pPr>
        <w:ind w:left="1546" w:hanging="708"/>
      </w:pPr>
      <w:rPr>
        <w:rFonts w:hint="default"/>
      </w:rPr>
    </w:lvl>
    <w:lvl w:ilvl="2" w:tplc="6A0A7CE2">
      <w:start w:val="1"/>
      <w:numFmt w:val="bullet"/>
      <w:lvlText w:val="•"/>
      <w:lvlJc w:val="left"/>
      <w:pPr>
        <w:ind w:left="2553" w:hanging="708"/>
      </w:pPr>
      <w:rPr>
        <w:rFonts w:hint="default"/>
      </w:rPr>
    </w:lvl>
    <w:lvl w:ilvl="3" w:tplc="91F03BB2">
      <w:start w:val="1"/>
      <w:numFmt w:val="bullet"/>
      <w:lvlText w:val="•"/>
      <w:lvlJc w:val="left"/>
      <w:pPr>
        <w:ind w:left="3559" w:hanging="708"/>
      </w:pPr>
      <w:rPr>
        <w:rFonts w:hint="default"/>
      </w:rPr>
    </w:lvl>
    <w:lvl w:ilvl="4" w:tplc="9F003F5A">
      <w:start w:val="1"/>
      <w:numFmt w:val="bullet"/>
      <w:lvlText w:val="•"/>
      <w:lvlJc w:val="left"/>
      <w:pPr>
        <w:ind w:left="4566" w:hanging="708"/>
      </w:pPr>
      <w:rPr>
        <w:rFonts w:hint="default"/>
      </w:rPr>
    </w:lvl>
    <w:lvl w:ilvl="5" w:tplc="F3362386">
      <w:start w:val="1"/>
      <w:numFmt w:val="bullet"/>
      <w:lvlText w:val="•"/>
      <w:lvlJc w:val="left"/>
      <w:pPr>
        <w:ind w:left="5573" w:hanging="708"/>
      </w:pPr>
      <w:rPr>
        <w:rFonts w:hint="default"/>
      </w:rPr>
    </w:lvl>
    <w:lvl w:ilvl="6" w:tplc="3F1A4C6E">
      <w:start w:val="1"/>
      <w:numFmt w:val="bullet"/>
      <w:lvlText w:val="•"/>
      <w:lvlJc w:val="left"/>
      <w:pPr>
        <w:ind w:left="6579" w:hanging="708"/>
      </w:pPr>
      <w:rPr>
        <w:rFonts w:hint="default"/>
      </w:rPr>
    </w:lvl>
    <w:lvl w:ilvl="7" w:tplc="AFC24296">
      <w:start w:val="1"/>
      <w:numFmt w:val="bullet"/>
      <w:lvlText w:val="•"/>
      <w:lvlJc w:val="left"/>
      <w:pPr>
        <w:ind w:left="7586" w:hanging="708"/>
      </w:pPr>
      <w:rPr>
        <w:rFonts w:hint="default"/>
      </w:rPr>
    </w:lvl>
    <w:lvl w:ilvl="8" w:tplc="0882B63E">
      <w:start w:val="1"/>
      <w:numFmt w:val="bullet"/>
      <w:lvlText w:val="•"/>
      <w:lvlJc w:val="left"/>
      <w:pPr>
        <w:ind w:left="8593" w:hanging="708"/>
      </w:pPr>
      <w:rPr>
        <w:rFonts w:hint="default"/>
      </w:rPr>
    </w:lvl>
  </w:abstractNum>
  <w:abstractNum w:abstractNumId="3" w15:restartNumberingAfterBreak="0">
    <w:nsid w:val="5C8943BE"/>
    <w:multiLevelType w:val="hybridMultilevel"/>
    <w:tmpl w:val="395045F2"/>
    <w:lvl w:ilvl="0" w:tplc="E6A843E0">
      <w:start w:val="1"/>
      <w:numFmt w:val="bullet"/>
      <w:lvlText w:val=""/>
      <w:lvlJc w:val="left"/>
      <w:pPr>
        <w:ind w:left="12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8451F2">
      <w:start w:val="1"/>
      <w:numFmt w:val="bullet"/>
      <w:lvlText w:val="•"/>
      <w:lvlJc w:val="left"/>
      <w:pPr>
        <w:ind w:left="2194" w:hanging="360"/>
      </w:pPr>
      <w:rPr>
        <w:rFonts w:hint="default"/>
      </w:rPr>
    </w:lvl>
    <w:lvl w:ilvl="2" w:tplc="2440069C">
      <w:start w:val="1"/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D2129F58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4" w:tplc="779616C2">
      <w:start w:val="1"/>
      <w:numFmt w:val="bullet"/>
      <w:lvlText w:val="•"/>
      <w:lvlJc w:val="left"/>
      <w:pPr>
        <w:ind w:left="4998" w:hanging="360"/>
      </w:pPr>
      <w:rPr>
        <w:rFonts w:hint="default"/>
      </w:rPr>
    </w:lvl>
    <w:lvl w:ilvl="5" w:tplc="5AD2AFA8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619886CC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D268775C">
      <w:start w:val="1"/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8CF04400">
      <w:start w:val="1"/>
      <w:numFmt w:val="bullet"/>
      <w:lvlText w:val="•"/>
      <w:lvlJc w:val="left"/>
      <w:pPr>
        <w:ind w:left="8737" w:hanging="360"/>
      </w:pPr>
      <w:rPr>
        <w:rFonts w:hint="default"/>
      </w:rPr>
    </w:lvl>
  </w:abstractNum>
  <w:abstractNum w:abstractNumId="4" w15:restartNumberingAfterBreak="0">
    <w:nsid w:val="7689466B"/>
    <w:multiLevelType w:val="hybridMultilevel"/>
    <w:tmpl w:val="5E58CE56"/>
    <w:lvl w:ilvl="0" w:tplc="586202BC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99"/>
        <w:sz w:val="20"/>
        <w:szCs w:val="20"/>
      </w:rPr>
    </w:lvl>
    <w:lvl w:ilvl="1" w:tplc="1E26DF98">
      <w:start w:val="1"/>
      <w:numFmt w:val="bullet"/>
      <w:lvlText w:val="o"/>
      <w:lvlJc w:val="left"/>
      <w:pPr>
        <w:ind w:left="1110" w:hanging="286"/>
      </w:pPr>
      <w:rPr>
        <w:rFonts w:ascii="Courier New" w:eastAsia="Courier New" w:hAnsi="Courier New" w:hint="default"/>
        <w:w w:val="99"/>
        <w:sz w:val="20"/>
        <w:szCs w:val="20"/>
      </w:rPr>
    </w:lvl>
    <w:lvl w:ilvl="2" w:tplc="7A72E12E">
      <w:start w:val="1"/>
      <w:numFmt w:val="bullet"/>
      <w:lvlText w:val="•"/>
      <w:lvlJc w:val="left"/>
      <w:pPr>
        <w:ind w:left="2174" w:hanging="286"/>
      </w:pPr>
      <w:rPr>
        <w:rFonts w:hint="default"/>
      </w:rPr>
    </w:lvl>
    <w:lvl w:ilvl="3" w:tplc="42D0B0D8">
      <w:start w:val="1"/>
      <w:numFmt w:val="bullet"/>
      <w:lvlText w:val="•"/>
      <w:lvlJc w:val="left"/>
      <w:pPr>
        <w:ind w:left="3228" w:hanging="286"/>
      </w:pPr>
      <w:rPr>
        <w:rFonts w:hint="default"/>
      </w:rPr>
    </w:lvl>
    <w:lvl w:ilvl="4" w:tplc="C4FED192">
      <w:start w:val="1"/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61A69A68">
      <w:start w:val="1"/>
      <w:numFmt w:val="bullet"/>
      <w:lvlText w:val="•"/>
      <w:lvlJc w:val="left"/>
      <w:pPr>
        <w:ind w:left="5336" w:hanging="286"/>
      </w:pPr>
      <w:rPr>
        <w:rFonts w:hint="default"/>
      </w:rPr>
    </w:lvl>
    <w:lvl w:ilvl="6" w:tplc="2D543998">
      <w:start w:val="1"/>
      <w:numFmt w:val="bullet"/>
      <w:lvlText w:val="•"/>
      <w:lvlJc w:val="left"/>
      <w:pPr>
        <w:ind w:left="6390" w:hanging="286"/>
      </w:pPr>
      <w:rPr>
        <w:rFonts w:hint="default"/>
      </w:rPr>
    </w:lvl>
    <w:lvl w:ilvl="7" w:tplc="D6029C1C">
      <w:start w:val="1"/>
      <w:numFmt w:val="bullet"/>
      <w:lvlText w:val="•"/>
      <w:lvlJc w:val="left"/>
      <w:pPr>
        <w:ind w:left="7444" w:hanging="286"/>
      </w:pPr>
      <w:rPr>
        <w:rFonts w:hint="default"/>
      </w:rPr>
    </w:lvl>
    <w:lvl w:ilvl="8" w:tplc="8E140C1A">
      <w:start w:val="1"/>
      <w:numFmt w:val="bullet"/>
      <w:lvlText w:val="•"/>
      <w:lvlJc w:val="left"/>
      <w:pPr>
        <w:ind w:left="8498" w:hanging="286"/>
      </w:pPr>
      <w:rPr>
        <w:rFonts w:hint="default"/>
      </w:rPr>
    </w:lvl>
  </w:abstractNum>
  <w:num w:numId="1" w16cid:durableId="1563953540">
    <w:abstractNumId w:val="2"/>
  </w:num>
  <w:num w:numId="2" w16cid:durableId="433091357">
    <w:abstractNumId w:val="4"/>
  </w:num>
  <w:num w:numId="3" w16cid:durableId="2024083812">
    <w:abstractNumId w:val="1"/>
  </w:num>
  <w:num w:numId="4" w16cid:durableId="674962174">
    <w:abstractNumId w:val="3"/>
  </w:num>
  <w:num w:numId="5" w16cid:durableId="179136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D"/>
    <w:rsid w:val="000D54EB"/>
    <w:rsid w:val="002217E8"/>
    <w:rsid w:val="002F625D"/>
    <w:rsid w:val="00307106"/>
    <w:rsid w:val="005179AE"/>
    <w:rsid w:val="0054654B"/>
    <w:rsid w:val="00645FC6"/>
    <w:rsid w:val="006D3B75"/>
    <w:rsid w:val="007E7B1D"/>
    <w:rsid w:val="00896F90"/>
    <w:rsid w:val="00A5050D"/>
    <w:rsid w:val="00BB4F53"/>
    <w:rsid w:val="00BE6FD5"/>
    <w:rsid w:val="00C11A99"/>
    <w:rsid w:val="00D962C5"/>
    <w:rsid w:val="00FA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710D"/>
  <w15:docId w15:val="{DCC48588-7944-4088-A83F-8A2F8E48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F625D"/>
  </w:style>
  <w:style w:type="paragraph" w:styleId="Nadpis1">
    <w:name w:val="heading 1"/>
    <w:basedOn w:val="Normln"/>
    <w:uiPriority w:val="1"/>
    <w:qFormat/>
    <w:rsid w:val="002F625D"/>
    <w:pPr>
      <w:ind w:left="241"/>
      <w:outlineLvl w:val="0"/>
    </w:pPr>
    <w:rPr>
      <w:rFonts w:ascii="Arial" w:eastAsia="Arial" w:hAnsi="Arial"/>
      <w:b/>
      <w:bCs/>
    </w:rPr>
  </w:style>
  <w:style w:type="paragraph" w:styleId="Nadpis2">
    <w:name w:val="heading 2"/>
    <w:basedOn w:val="Normln"/>
    <w:uiPriority w:val="1"/>
    <w:qFormat/>
    <w:rsid w:val="002F625D"/>
    <w:pPr>
      <w:ind w:left="476" w:hanging="3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2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F625D"/>
    <w:pPr>
      <w:ind w:left="543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2F625D"/>
  </w:style>
  <w:style w:type="paragraph" w:customStyle="1" w:styleId="TableParagraph">
    <w:name w:val="Table Paragraph"/>
    <w:basedOn w:val="Normln"/>
    <w:uiPriority w:val="1"/>
    <w:qFormat/>
    <w:rsid w:val="002F625D"/>
  </w:style>
  <w:style w:type="paragraph" w:styleId="Zhlav">
    <w:name w:val="header"/>
    <w:basedOn w:val="Normln"/>
    <w:link w:val="ZhlavChar"/>
    <w:uiPriority w:val="99"/>
    <w:semiHidden/>
    <w:unhideWhenUsed/>
    <w:rsid w:val="003071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106"/>
  </w:style>
  <w:style w:type="paragraph" w:styleId="Zpat">
    <w:name w:val="footer"/>
    <w:basedOn w:val="Normln"/>
    <w:link w:val="ZpatChar"/>
    <w:uiPriority w:val="99"/>
    <w:semiHidden/>
    <w:unhideWhenUsed/>
    <w:rsid w:val="003071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fab-foams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fab-foams.d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Švecová</dc:creator>
  <cp:lastModifiedBy>Gabriela Švecová</cp:lastModifiedBy>
  <cp:revision>2</cp:revision>
  <dcterms:created xsi:type="dcterms:W3CDTF">2026-05-11T12:14:00Z</dcterms:created>
  <dcterms:modified xsi:type="dcterms:W3CDTF">2026-05-11T12:14:00Z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2018-10-09T00:00:00Z</vt:filetime>
  </property>
</Properties>
</file>